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7F4ED" w14:textId="3844ED96" w:rsidR="005D34AA" w:rsidRDefault="00B20672" w:rsidP="00C504D7">
      <w:pPr>
        <w:pStyle w:val="KonuBal"/>
        <w:tabs>
          <w:tab w:val="left" w:pos="8550"/>
        </w:tabs>
        <w:spacing w:before="240" w:line="360" w:lineRule="auto"/>
        <w:ind w:left="0" w:right="0" w:firstLine="0"/>
        <w:jc w:val="center"/>
      </w:pPr>
      <w:r w:rsidRPr="00B20672">
        <w:t>Large-scale forecasting of large fluctuations using wavelet coherence and multifractal behavior and developing wavelet coherence for multiple time series</w:t>
      </w:r>
    </w:p>
    <w:p w14:paraId="475B701A" w14:textId="77777777" w:rsidR="00263FD5" w:rsidRPr="005D34AA" w:rsidRDefault="00263FD5" w:rsidP="00C504D7">
      <w:pPr>
        <w:pStyle w:val="KonuBal"/>
        <w:tabs>
          <w:tab w:val="left" w:pos="8550"/>
        </w:tabs>
        <w:spacing w:before="240" w:line="360" w:lineRule="auto"/>
        <w:ind w:left="0" w:right="0" w:firstLine="0"/>
        <w:jc w:val="center"/>
      </w:pPr>
    </w:p>
    <w:p w14:paraId="36AE9F01" w14:textId="427D066C" w:rsidR="00846AEB" w:rsidRPr="006B75E8" w:rsidRDefault="00715B64" w:rsidP="00B46690">
      <w:pPr>
        <w:tabs>
          <w:tab w:val="left" w:pos="7317"/>
        </w:tabs>
        <w:spacing w:before="240" w:line="360" w:lineRule="auto"/>
        <w:jc w:val="center"/>
        <w:rPr>
          <w:rFonts w:ascii="Times New Roman" w:hAnsi="Times New Roman" w:cs="Times New Roman"/>
          <w:lang w:val="de-DE"/>
        </w:rPr>
      </w:pPr>
      <w:r w:rsidRPr="006B75E8">
        <w:rPr>
          <w:rFonts w:ascii="Times New Roman" w:hAnsi="Times New Roman" w:cs="Times New Roman"/>
          <w:lang w:val="de-DE"/>
        </w:rPr>
        <w:t>Tunc Oygur</w:t>
      </w:r>
      <w:r w:rsidR="00C41525" w:rsidRPr="006B75E8">
        <w:rPr>
          <w:rFonts w:ascii="Times New Roman" w:hAnsi="Times New Roman" w:cs="Times New Roman"/>
          <w:vertAlign w:val="superscript"/>
          <w:lang w:val="de-DE"/>
        </w:rPr>
        <w:t>1</w:t>
      </w:r>
      <w:r w:rsidR="00B563EE" w:rsidRPr="006B75E8">
        <w:rPr>
          <w:rFonts w:ascii="Times New Roman" w:hAnsi="Times New Roman" w:cs="Times New Roman"/>
          <w:vertAlign w:val="superscript"/>
          <w:lang w:val="de-DE"/>
        </w:rPr>
        <w:t xml:space="preserve">, </w:t>
      </w:r>
      <w:r w:rsidR="00B563EE" w:rsidRPr="006B75E8">
        <w:rPr>
          <w:rFonts w:ascii="Times New Roman" w:hAnsi="Times New Roman" w:cs="Times New Roman"/>
          <w:lang w:val="de-DE"/>
        </w:rPr>
        <w:t>*</w:t>
      </w:r>
      <w:r w:rsidR="00C41525" w:rsidRPr="006B75E8">
        <w:rPr>
          <w:rFonts w:ascii="Times New Roman" w:hAnsi="Times New Roman" w:cs="Times New Roman"/>
          <w:lang w:val="de-DE"/>
        </w:rPr>
        <w:t xml:space="preserve">, </w:t>
      </w:r>
      <w:r w:rsidRPr="006B75E8">
        <w:rPr>
          <w:rFonts w:ascii="Times New Roman" w:hAnsi="Times New Roman" w:cs="Times New Roman"/>
          <w:lang w:val="de-DE"/>
        </w:rPr>
        <w:t>Yaman Ömer Erzurumlu</w:t>
      </w:r>
      <w:r w:rsidR="00C41525" w:rsidRPr="006B75E8">
        <w:rPr>
          <w:rFonts w:ascii="Times New Roman" w:hAnsi="Times New Roman" w:cs="Times New Roman"/>
          <w:vertAlign w:val="superscript"/>
          <w:lang w:val="de-DE"/>
        </w:rPr>
        <w:t>2</w:t>
      </w:r>
      <w:r w:rsidR="001E0530" w:rsidRPr="006B75E8">
        <w:rPr>
          <w:rFonts w:ascii="Times New Roman" w:hAnsi="Times New Roman" w:cs="Times New Roman"/>
          <w:lang w:val="de-DE"/>
        </w:rPr>
        <w:t>, Gazanfer Unal</w:t>
      </w:r>
      <w:r w:rsidR="001E0530" w:rsidRPr="006B75E8">
        <w:rPr>
          <w:rFonts w:ascii="Times New Roman" w:hAnsi="Times New Roman" w:cs="Times New Roman"/>
          <w:vertAlign w:val="superscript"/>
          <w:lang w:val="de-DE"/>
        </w:rPr>
        <w:t>3</w:t>
      </w:r>
    </w:p>
    <w:p w14:paraId="710597AA" w14:textId="77777777" w:rsidR="005D34AA" w:rsidRPr="006B75E8" w:rsidRDefault="005D34AA" w:rsidP="005D34AA">
      <w:pPr>
        <w:tabs>
          <w:tab w:val="left" w:pos="7317"/>
        </w:tabs>
        <w:spacing w:before="240" w:line="360" w:lineRule="auto"/>
        <w:rPr>
          <w:rFonts w:ascii="Times New Roman" w:hAnsi="Times New Roman" w:cs="Times New Roman"/>
          <w:lang w:val="de-DE"/>
        </w:rPr>
      </w:pPr>
    </w:p>
    <w:p w14:paraId="47931B4F" w14:textId="221231DF" w:rsidR="00B663AD" w:rsidRPr="00F01961" w:rsidRDefault="00B663AD" w:rsidP="00925A46">
      <w:pPr>
        <w:tabs>
          <w:tab w:val="center" w:pos="4536"/>
          <w:tab w:val="right" w:pos="9072"/>
        </w:tabs>
        <w:spacing w:before="240" w:line="360" w:lineRule="auto"/>
        <w:jc w:val="both"/>
        <w:rPr>
          <w:rFonts w:ascii="Times New Roman" w:hAnsi="Times New Roman" w:cs="Times New Roman"/>
        </w:rPr>
      </w:pPr>
      <w:r w:rsidRPr="00F01961">
        <w:rPr>
          <w:rFonts w:ascii="Times New Roman" w:hAnsi="Times New Roman" w:cs="Times New Roman"/>
          <w:vertAlign w:val="superscript"/>
        </w:rPr>
        <w:t>1</w:t>
      </w:r>
      <w:r w:rsidR="00F95C7F" w:rsidRPr="00F95C7F">
        <w:rPr>
          <w:rFonts w:ascii="Times New Roman" w:hAnsi="Times New Roman" w:cs="Times New Roman"/>
        </w:rPr>
        <w:t xml:space="preserve"> </w:t>
      </w:r>
      <w:r w:rsidR="00F95C7F">
        <w:rPr>
          <w:rFonts w:ascii="Times New Roman" w:hAnsi="Times New Roman" w:cs="Times New Roman"/>
        </w:rPr>
        <w:t xml:space="preserve">Financial Economics </w:t>
      </w:r>
      <w:proofErr w:type="spellStart"/>
      <w:r w:rsidR="00F95C7F">
        <w:rPr>
          <w:rFonts w:ascii="Times New Roman" w:hAnsi="Times New Roman" w:cs="Times New Roman"/>
        </w:rPr>
        <w:t>Programme</w:t>
      </w:r>
      <w:proofErr w:type="spellEnd"/>
      <w:r w:rsidR="00F95C7F">
        <w:rPr>
          <w:rFonts w:ascii="Times New Roman" w:hAnsi="Times New Roman" w:cs="Times New Roman"/>
        </w:rPr>
        <w:t xml:space="preserve">, </w:t>
      </w:r>
      <w:r w:rsidR="00F95C7F" w:rsidRPr="000A6E6A">
        <w:rPr>
          <w:rFonts w:ascii="Times New Roman" w:hAnsi="Times New Roman" w:cs="Times New Roman"/>
        </w:rPr>
        <w:t>School of Social Science</w:t>
      </w:r>
      <w:r w:rsidR="00F95C7F">
        <w:rPr>
          <w:rFonts w:ascii="Times New Roman" w:hAnsi="Times New Roman" w:cs="Times New Roman"/>
        </w:rPr>
        <w:t xml:space="preserve">, </w:t>
      </w:r>
      <w:proofErr w:type="spellStart"/>
      <w:r w:rsidR="00F95C7F">
        <w:rPr>
          <w:rFonts w:ascii="Times New Roman" w:hAnsi="Times New Roman" w:cs="Times New Roman"/>
        </w:rPr>
        <w:t>Yeditepe</w:t>
      </w:r>
      <w:proofErr w:type="spellEnd"/>
      <w:r w:rsidR="00F95C7F">
        <w:rPr>
          <w:rFonts w:ascii="Times New Roman" w:hAnsi="Times New Roman" w:cs="Times New Roman"/>
        </w:rPr>
        <w:t xml:space="preserve"> University</w:t>
      </w:r>
      <w:r w:rsidRPr="00F01961">
        <w:rPr>
          <w:rFonts w:ascii="Times New Roman" w:hAnsi="Times New Roman" w:cs="Times New Roman"/>
        </w:rPr>
        <w:t>, Istanbul, 34755, Turkey</w:t>
      </w:r>
    </w:p>
    <w:p w14:paraId="718B884E" w14:textId="45EDDBCB" w:rsidR="00B663AD" w:rsidRPr="00F01961" w:rsidRDefault="00B663AD" w:rsidP="00925A46">
      <w:pPr>
        <w:tabs>
          <w:tab w:val="center" w:pos="4536"/>
          <w:tab w:val="right" w:pos="9072"/>
        </w:tabs>
        <w:spacing w:before="240" w:line="360" w:lineRule="auto"/>
        <w:jc w:val="both"/>
        <w:rPr>
          <w:rFonts w:ascii="Times New Roman" w:hAnsi="Times New Roman" w:cs="Times New Roman"/>
        </w:rPr>
      </w:pPr>
      <w:r w:rsidRPr="00F01961">
        <w:rPr>
          <w:rFonts w:ascii="Times New Roman" w:hAnsi="Times New Roman" w:cs="Times New Roman"/>
          <w:vertAlign w:val="superscript"/>
        </w:rPr>
        <w:t>2</w:t>
      </w:r>
      <w:r w:rsidR="00FE4E39" w:rsidRPr="00FE4E39">
        <w:rPr>
          <w:rFonts w:ascii="Times New Roman" w:hAnsi="Times New Roman" w:cs="Times New Roman"/>
        </w:rPr>
        <w:t xml:space="preserve"> </w:t>
      </w:r>
      <w:r w:rsidR="00FE4E39">
        <w:rPr>
          <w:rFonts w:ascii="Times New Roman" w:hAnsi="Times New Roman" w:cs="Times New Roman"/>
        </w:rPr>
        <w:t xml:space="preserve">Engineering Management, </w:t>
      </w:r>
      <w:proofErr w:type="spellStart"/>
      <w:r w:rsidR="00054A4C">
        <w:rPr>
          <w:rFonts w:ascii="Times New Roman" w:hAnsi="Times New Roman" w:cs="Times New Roman"/>
        </w:rPr>
        <w:t>Bahcesehir</w:t>
      </w:r>
      <w:proofErr w:type="spellEnd"/>
      <w:r w:rsidR="00054A4C">
        <w:rPr>
          <w:rFonts w:ascii="Times New Roman" w:hAnsi="Times New Roman" w:cs="Times New Roman"/>
        </w:rPr>
        <w:t xml:space="preserve"> </w:t>
      </w:r>
      <w:r w:rsidRPr="00F01961">
        <w:rPr>
          <w:rFonts w:ascii="Times New Roman" w:hAnsi="Times New Roman" w:cs="Times New Roman"/>
        </w:rPr>
        <w:t xml:space="preserve">University, Istanbul, </w:t>
      </w:r>
      <w:r w:rsidR="00C41525" w:rsidRPr="00F01961">
        <w:rPr>
          <w:rFonts w:ascii="Times New Roman" w:hAnsi="Times New Roman" w:cs="Times New Roman"/>
        </w:rPr>
        <w:t>34</w:t>
      </w:r>
      <w:r w:rsidR="00054A4C">
        <w:rPr>
          <w:rFonts w:ascii="Times New Roman" w:hAnsi="Times New Roman" w:cs="Times New Roman"/>
        </w:rPr>
        <w:t>353</w:t>
      </w:r>
      <w:r w:rsidRPr="00F01961">
        <w:rPr>
          <w:rFonts w:ascii="Times New Roman" w:hAnsi="Times New Roman" w:cs="Times New Roman"/>
        </w:rPr>
        <w:t>, Turkey</w:t>
      </w:r>
    </w:p>
    <w:p w14:paraId="10B603D0" w14:textId="74D5FC3B" w:rsidR="001E0530" w:rsidRPr="00F01961" w:rsidRDefault="001E0530" w:rsidP="001E0530">
      <w:pPr>
        <w:tabs>
          <w:tab w:val="center" w:pos="4536"/>
          <w:tab w:val="right" w:pos="9072"/>
        </w:tabs>
        <w:spacing w:before="240" w:line="360" w:lineRule="auto"/>
        <w:jc w:val="both"/>
        <w:rPr>
          <w:rFonts w:ascii="Times New Roman" w:hAnsi="Times New Roman" w:cs="Times New Roman"/>
        </w:rPr>
      </w:pPr>
      <w:r>
        <w:rPr>
          <w:rFonts w:ascii="Times New Roman" w:hAnsi="Times New Roman" w:cs="Times New Roman"/>
          <w:vertAlign w:val="superscript"/>
        </w:rPr>
        <w:t>3</w:t>
      </w:r>
      <w:r w:rsidR="00A94239" w:rsidRPr="00A94239">
        <w:rPr>
          <w:rFonts w:ascii="Times New Roman" w:hAnsi="Times New Roman" w:cs="Times New Roman"/>
        </w:rPr>
        <w:t>Administrative and Social Sciences</w:t>
      </w:r>
      <w:r w:rsidRPr="00F01961">
        <w:rPr>
          <w:rFonts w:ascii="Times New Roman" w:hAnsi="Times New Roman" w:cs="Times New Roman"/>
        </w:rPr>
        <w:t xml:space="preserve">, </w:t>
      </w:r>
      <w:proofErr w:type="spellStart"/>
      <w:r w:rsidR="00363822">
        <w:rPr>
          <w:rFonts w:ascii="Times New Roman" w:hAnsi="Times New Roman" w:cs="Times New Roman"/>
        </w:rPr>
        <w:t>Bahcesehir</w:t>
      </w:r>
      <w:proofErr w:type="spellEnd"/>
      <w:r w:rsidR="00363822">
        <w:rPr>
          <w:rFonts w:ascii="Times New Roman" w:hAnsi="Times New Roman" w:cs="Times New Roman"/>
        </w:rPr>
        <w:t xml:space="preserve"> </w:t>
      </w:r>
      <w:r w:rsidR="00363822" w:rsidRPr="00F01961">
        <w:rPr>
          <w:rFonts w:ascii="Times New Roman" w:hAnsi="Times New Roman" w:cs="Times New Roman"/>
        </w:rPr>
        <w:t>University</w:t>
      </w:r>
      <w:r w:rsidR="00363822">
        <w:rPr>
          <w:rFonts w:ascii="Times New Roman" w:hAnsi="Times New Roman" w:cs="Times New Roman"/>
        </w:rPr>
        <w:t xml:space="preserve">, </w:t>
      </w:r>
      <w:r w:rsidRPr="00F01961">
        <w:rPr>
          <w:rFonts w:ascii="Times New Roman" w:hAnsi="Times New Roman" w:cs="Times New Roman"/>
        </w:rPr>
        <w:t>Istanbul, 34</w:t>
      </w:r>
      <w:r>
        <w:rPr>
          <w:rFonts w:ascii="Times New Roman" w:hAnsi="Times New Roman" w:cs="Times New Roman"/>
        </w:rPr>
        <w:t>353</w:t>
      </w:r>
      <w:r w:rsidRPr="00F01961">
        <w:rPr>
          <w:rFonts w:ascii="Times New Roman" w:hAnsi="Times New Roman" w:cs="Times New Roman"/>
        </w:rPr>
        <w:t>, Turkey</w:t>
      </w:r>
    </w:p>
    <w:p w14:paraId="7350D1C8" w14:textId="77777777" w:rsidR="00A94239" w:rsidRDefault="00A94239" w:rsidP="00925A46">
      <w:pPr>
        <w:spacing w:before="240" w:line="360" w:lineRule="auto"/>
        <w:jc w:val="both"/>
        <w:rPr>
          <w:rFonts w:ascii="Times New Roman" w:hAnsi="Times New Roman" w:cs="Times New Roman"/>
          <w:b/>
          <w:bCs/>
        </w:rPr>
      </w:pPr>
    </w:p>
    <w:p w14:paraId="0E93644B" w14:textId="11BBF91F" w:rsidR="00B663AD" w:rsidRPr="00F01961" w:rsidRDefault="00901E5F" w:rsidP="00925A46">
      <w:pPr>
        <w:spacing w:before="240" w:line="360" w:lineRule="auto"/>
        <w:jc w:val="both"/>
        <w:rPr>
          <w:rFonts w:ascii="Times New Roman" w:hAnsi="Times New Roman" w:cs="Times New Roman"/>
          <w:b/>
          <w:bCs/>
        </w:rPr>
      </w:pPr>
      <w:r w:rsidRPr="00F01961">
        <w:rPr>
          <w:rFonts w:ascii="Times New Roman" w:hAnsi="Times New Roman" w:cs="Times New Roman"/>
          <w:b/>
          <w:bCs/>
        </w:rPr>
        <w:t>* Correspondence:</w:t>
      </w:r>
    </w:p>
    <w:p w14:paraId="3C008995" w14:textId="6D3B4A5F" w:rsidR="00B46690" w:rsidRPr="00F01961" w:rsidRDefault="00B46690" w:rsidP="00B46690">
      <w:pPr>
        <w:spacing w:before="240" w:line="360" w:lineRule="auto"/>
        <w:jc w:val="both"/>
        <w:rPr>
          <w:rFonts w:ascii="Times New Roman" w:hAnsi="Times New Roman" w:cs="Times New Roman"/>
        </w:rPr>
      </w:pPr>
      <w:r>
        <w:rPr>
          <w:rFonts w:ascii="Times New Roman" w:hAnsi="Times New Roman" w:cs="Times New Roman"/>
        </w:rPr>
        <w:t xml:space="preserve">Tunc Oygur </w:t>
      </w:r>
    </w:p>
    <w:p w14:paraId="21CA932F" w14:textId="313559D9" w:rsidR="00C41525" w:rsidRPr="006B75E8" w:rsidRDefault="00F75703" w:rsidP="00925A46">
      <w:pPr>
        <w:tabs>
          <w:tab w:val="center" w:pos="4536"/>
          <w:tab w:val="right" w:pos="9072"/>
        </w:tabs>
        <w:spacing w:before="240" w:line="360" w:lineRule="auto"/>
        <w:jc w:val="both"/>
        <w:rPr>
          <w:rFonts w:ascii="Times New Roman" w:hAnsi="Times New Roman" w:cs="Times New Roman"/>
          <w:lang w:val="de-DE"/>
        </w:rPr>
      </w:pPr>
      <w:r w:rsidRPr="006B75E8">
        <w:rPr>
          <w:rFonts w:ascii="Times New Roman" w:hAnsi="Times New Roman" w:cs="Times New Roman"/>
          <w:b/>
          <w:bCs/>
          <w:lang w:val="de-DE"/>
        </w:rPr>
        <w:t>E</w:t>
      </w:r>
      <w:r w:rsidR="00C41525" w:rsidRPr="006B75E8">
        <w:rPr>
          <w:rFonts w:ascii="Times New Roman" w:hAnsi="Times New Roman" w:cs="Times New Roman"/>
          <w:b/>
          <w:bCs/>
          <w:lang w:val="de-DE"/>
        </w:rPr>
        <w:t>-mail:</w:t>
      </w:r>
      <w:r w:rsidR="00C41525" w:rsidRPr="006B75E8">
        <w:rPr>
          <w:rFonts w:ascii="Times New Roman" w:hAnsi="Times New Roman" w:cs="Times New Roman"/>
          <w:lang w:val="de-DE"/>
        </w:rPr>
        <w:t xml:space="preserve"> </w:t>
      </w:r>
      <w:r w:rsidR="009F1B2A" w:rsidRPr="006B75E8">
        <w:rPr>
          <w:rFonts w:ascii="Times New Roman" w:hAnsi="Times New Roman" w:cs="Times New Roman"/>
          <w:lang w:val="de-DE"/>
        </w:rPr>
        <w:t>tunc.oygur@std.yeditepe.edu.tr</w:t>
      </w:r>
    </w:p>
    <w:p w14:paraId="74FD45DA" w14:textId="77777777" w:rsidR="00B20672" w:rsidRPr="006B75E8" w:rsidRDefault="00B20672" w:rsidP="00925A46">
      <w:pPr>
        <w:spacing w:before="240"/>
        <w:rPr>
          <w:rFonts w:ascii="Times New Roman" w:hAnsi="Times New Roman" w:cs="Times New Roman"/>
          <w:lang w:val="de-DE"/>
        </w:rPr>
      </w:pPr>
    </w:p>
    <w:p w14:paraId="11D6880C" w14:textId="0CD8D3A1" w:rsidR="00C41525" w:rsidRPr="00C504D7" w:rsidRDefault="00C504D7" w:rsidP="00C504D7">
      <w:pPr>
        <w:spacing w:before="240" w:line="360" w:lineRule="auto"/>
        <w:jc w:val="both"/>
        <w:rPr>
          <w:rFonts w:ascii="Times New Roman" w:hAnsi="Times New Roman" w:cs="Times New Roman"/>
          <w:i/>
          <w:iCs/>
        </w:rPr>
      </w:pPr>
      <w:r w:rsidRPr="00C504D7">
        <w:rPr>
          <w:rFonts w:ascii="Times New Roman" w:hAnsi="Times New Roman" w:cs="Times New Roman"/>
          <w:i/>
          <w:iCs/>
        </w:rPr>
        <w:t xml:space="preserve">This article is derived from the </w:t>
      </w:r>
      <w:r w:rsidR="004F0C6C">
        <w:rPr>
          <w:rFonts w:ascii="Times New Roman" w:hAnsi="Times New Roman" w:cs="Times New Roman"/>
          <w:i/>
          <w:iCs/>
        </w:rPr>
        <w:t>first</w:t>
      </w:r>
      <w:r w:rsidRPr="00C504D7">
        <w:rPr>
          <w:rFonts w:ascii="Times New Roman" w:hAnsi="Times New Roman" w:cs="Times New Roman"/>
          <w:i/>
          <w:iCs/>
        </w:rPr>
        <w:t xml:space="preserve"> author</w:t>
      </w:r>
      <w:r w:rsidR="00856C2D">
        <w:rPr>
          <w:rFonts w:ascii="Times New Roman" w:hAnsi="Times New Roman" w:cs="Times New Roman"/>
          <w:i/>
          <w:iCs/>
        </w:rPr>
        <w:t>’</w:t>
      </w:r>
      <w:r w:rsidRPr="00C504D7">
        <w:rPr>
          <w:rFonts w:ascii="Times New Roman" w:hAnsi="Times New Roman" w:cs="Times New Roman"/>
          <w:i/>
          <w:iCs/>
        </w:rPr>
        <w:t>s Ph.D. dissertation entitled “</w:t>
      </w:r>
      <w:r w:rsidR="004F0C6C">
        <w:rPr>
          <w:rFonts w:ascii="Times New Roman" w:hAnsi="Times New Roman" w:cs="Times New Roman"/>
          <w:i/>
          <w:iCs/>
        </w:rPr>
        <w:t>Large-scale forecasting of large fluctuations using wavelet coherence and multifractal behavior and developing wavelet coherence for multiple time series</w:t>
      </w:r>
      <w:r w:rsidR="00EB6991">
        <w:rPr>
          <w:rFonts w:ascii="Times New Roman" w:hAnsi="Times New Roman" w:cs="Times New Roman"/>
          <w:i/>
          <w:iCs/>
        </w:rPr>
        <w:t>,</w:t>
      </w:r>
      <w:r w:rsidRPr="00C504D7">
        <w:rPr>
          <w:rFonts w:ascii="Times New Roman" w:hAnsi="Times New Roman" w:cs="Times New Roman"/>
          <w:i/>
          <w:iCs/>
        </w:rPr>
        <w:t xml:space="preserve">” conducted under the supervision of the </w:t>
      </w:r>
      <w:r w:rsidR="004F0C6C">
        <w:rPr>
          <w:rFonts w:ascii="Times New Roman" w:hAnsi="Times New Roman" w:cs="Times New Roman"/>
          <w:i/>
          <w:iCs/>
        </w:rPr>
        <w:t>second</w:t>
      </w:r>
      <w:r w:rsidRPr="00C504D7">
        <w:rPr>
          <w:rFonts w:ascii="Times New Roman" w:hAnsi="Times New Roman" w:cs="Times New Roman"/>
          <w:i/>
          <w:iCs/>
        </w:rPr>
        <w:t xml:space="preserve"> author.</w:t>
      </w:r>
      <w:r w:rsidR="00C41525" w:rsidRPr="00C504D7">
        <w:rPr>
          <w:rFonts w:ascii="Times New Roman" w:hAnsi="Times New Roman" w:cs="Times New Roman"/>
          <w:i/>
          <w:iCs/>
        </w:rPr>
        <w:br w:type="page"/>
      </w:r>
    </w:p>
    <w:p w14:paraId="1FD95B53" w14:textId="0214DB61" w:rsidR="00C41525" w:rsidRPr="00F01961" w:rsidRDefault="00C41525" w:rsidP="00925A46">
      <w:pPr>
        <w:tabs>
          <w:tab w:val="center" w:pos="4536"/>
          <w:tab w:val="right" w:pos="9072"/>
        </w:tabs>
        <w:spacing w:before="240" w:line="360" w:lineRule="auto"/>
        <w:jc w:val="both"/>
        <w:rPr>
          <w:rFonts w:ascii="Times New Roman" w:hAnsi="Times New Roman" w:cs="Times New Roman"/>
          <w:b/>
          <w:bCs/>
        </w:rPr>
      </w:pPr>
      <w:r w:rsidRPr="00F01961">
        <w:rPr>
          <w:rFonts w:ascii="Times New Roman" w:hAnsi="Times New Roman" w:cs="Times New Roman"/>
          <w:b/>
          <w:bCs/>
        </w:rPr>
        <w:lastRenderedPageBreak/>
        <w:t>Abstract</w:t>
      </w:r>
    </w:p>
    <w:p w14:paraId="54EA4A1F" w14:textId="77777777" w:rsidR="00B4303B" w:rsidRDefault="00B4303B" w:rsidP="00925A46">
      <w:pPr>
        <w:spacing w:before="240" w:line="360" w:lineRule="auto"/>
        <w:jc w:val="both"/>
        <w:rPr>
          <w:rFonts w:ascii="Times New Roman" w:hAnsi="Times New Roman" w:cs="Times New Roman"/>
        </w:rPr>
      </w:pPr>
      <w:r w:rsidRPr="00B4303B">
        <w:rPr>
          <w:rFonts w:ascii="Times New Roman" w:hAnsi="Times New Roman" w:cs="Times New Roman"/>
        </w:rPr>
        <w:t>Shocks, jumps, booms, and busts are typical large fluctuation markers that appear in crisis. Identifying financial crises and estimating leading indicators with strong relations during crisis periods have an essential role in the literature. This thesis examines the dynamic co-movements of leading indica</w:t>
      </w:r>
      <w:bookmarkStart w:id="0" w:name="_GoBack"/>
      <w:bookmarkEnd w:id="0"/>
      <w:r w:rsidRPr="00B4303B">
        <w:rPr>
          <w:rFonts w:ascii="Times New Roman" w:hAnsi="Times New Roman" w:cs="Times New Roman"/>
        </w:rPr>
        <w:t xml:space="preserve">tors' multifractal features to identify financial crises due to large fluctuations. The detected dynamic relationships predict leading indicators with scale-by-scale analysis and make large-scale predictions better than challenger models. As a natural result of these studies, the n-dimensional wavelet coherence method is examined, and the </w:t>
      </w:r>
      <w:proofErr w:type="spellStart"/>
      <w:r w:rsidRPr="00B4303B">
        <w:rPr>
          <w:rFonts w:ascii="Times New Roman" w:hAnsi="Times New Roman" w:cs="Times New Roman"/>
        </w:rPr>
        <w:t>vectorwavelet</w:t>
      </w:r>
      <w:proofErr w:type="spellEnd"/>
      <w:r w:rsidRPr="00B4303B">
        <w:rPr>
          <w:rFonts w:ascii="Times New Roman" w:hAnsi="Times New Roman" w:cs="Times New Roman"/>
        </w:rPr>
        <w:t xml:space="preserve"> package is transferred to the R program. This thesis consists of three independent parts, and the contents of the studies are summarized below. In the first part, stock returns' co-movements with other leading indicators in crisis periods are analyzed with multiple and quadruple wavelet coherence using interest rate, exchange rate, and trade balance differences. The scale-by-scale wavelet transformation was used to predict large-scale relationships, and stock return estimation was performed. In the second part, the multifractal characteristics of sectoral default probabilities of the real sector in Turkey and Turkey sovereign CDS rates were examined by detrended fluctuation analysis. Significant dynamic connections between the </w:t>
      </w:r>
      <w:proofErr w:type="spellStart"/>
      <w:r w:rsidRPr="00B4303B">
        <w:rPr>
          <w:rFonts w:ascii="Times New Roman" w:hAnsi="Times New Roman" w:cs="Times New Roman"/>
        </w:rPr>
        <w:t>Hölder</w:t>
      </w:r>
      <w:proofErr w:type="spellEnd"/>
      <w:r w:rsidRPr="00B4303B">
        <w:rPr>
          <w:rFonts w:ascii="Times New Roman" w:hAnsi="Times New Roman" w:cs="Times New Roman"/>
        </w:rPr>
        <w:t xml:space="preserve"> exponents of the default rates and CDS during financial crisis periods have been examined. During the periods of financial crises, among the </w:t>
      </w:r>
      <w:proofErr w:type="spellStart"/>
      <w:r w:rsidRPr="00B4303B">
        <w:rPr>
          <w:rFonts w:ascii="Times New Roman" w:hAnsi="Times New Roman" w:cs="Times New Roman"/>
        </w:rPr>
        <w:t>Hölder</w:t>
      </w:r>
      <w:proofErr w:type="spellEnd"/>
      <w:r w:rsidRPr="00B4303B">
        <w:rPr>
          <w:rFonts w:ascii="Times New Roman" w:hAnsi="Times New Roman" w:cs="Times New Roman"/>
        </w:rPr>
        <w:t xml:space="preserve"> exponents, severely correlated large scales show multifractal features. Scale-by-scale wavelet transform has been used to predict large-scale relationships, and hence vector fractionally autoregressive integrated moving average forecasting provides better results than scalar models. The final part of the thesis introduces a new wavelet methodology to handle multivariate time series dynamic co-movements by extending multiple quadruple wavelet coherence methodologies. The primary motivation of our works is to measure wavelet coherence analytically for the specific dimension.</w:t>
      </w:r>
    </w:p>
    <w:p w14:paraId="70F81572" w14:textId="0238B7A8" w:rsidR="00C41525" w:rsidRPr="00F01961" w:rsidRDefault="00C41525" w:rsidP="00925A46">
      <w:pPr>
        <w:spacing w:before="240" w:line="360" w:lineRule="auto"/>
        <w:jc w:val="both"/>
        <w:rPr>
          <w:rFonts w:ascii="Times New Roman" w:hAnsi="Times New Roman" w:cs="Times New Roman"/>
        </w:rPr>
      </w:pPr>
      <w:r w:rsidRPr="00F01961">
        <w:rPr>
          <w:rFonts w:ascii="Times New Roman" w:hAnsi="Times New Roman" w:cs="Times New Roman"/>
          <w:b/>
          <w:bCs/>
        </w:rPr>
        <w:t xml:space="preserve">Keywords: </w:t>
      </w:r>
      <w:r w:rsidR="009A5986" w:rsidRPr="009A5986">
        <w:rPr>
          <w:rFonts w:ascii="Times New Roman" w:hAnsi="Times New Roman" w:cs="Times New Roman"/>
        </w:rPr>
        <w:t>Financial crises; large fluctuations, large-scale forecast, multiscale analysis, vector wavelet coherence</w:t>
      </w:r>
    </w:p>
    <w:p w14:paraId="148987B4" w14:textId="1A28FF70" w:rsidR="00B663AD" w:rsidRPr="00F01961" w:rsidRDefault="00C41525" w:rsidP="00925A46">
      <w:pPr>
        <w:spacing w:before="240" w:line="360" w:lineRule="auto"/>
        <w:jc w:val="both"/>
        <w:rPr>
          <w:rFonts w:ascii="Times New Roman" w:hAnsi="Times New Roman" w:cs="Times New Roman"/>
        </w:rPr>
      </w:pPr>
      <w:r w:rsidRPr="00F01961">
        <w:rPr>
          <w:rFonts w:ascii="Times New Roman" w:hAnsi="Times New Roman" w:cs="Times New Roman"/>
        </w:rPr>
        <w:t xml:space="preserve"> </w:t>
      </w:r>
      <w:r w:rsidR="00B663AD" w:rsidRPr="00F01961">
        <w:rPr>
          <w:rFonts w:ascii="Times New Roman" w:hAnsi="Times New Roman" w:cs="Times New Roman"/>
        </w:rPr>
        <w:br w:type="page"/>
      </w:r>
    </w:p>
    <w:p w14:paraId="1083F8E1" w14:textId="32D745F7" w:rsidR="00FD075D" w:rsidRPr="00965E48" w:rsidRDefault="00AA32B4" w:rsidP="00FD075D">
      <w:pPr>
        <w:spacing w:before="240" w:line="360" w:lineRule="auto"/>
        <w:jc w:val="both"/>
        <w:rPr>
          <w:rFonts w:ascii="Times New Roman" w:hAnsi="Times New Roman" w:cs="Times New Roman"/>
          <w:b/>
          <w:bCs/>
        </w:rPr>
      </w:pPr>
      <w:r w:rsidRPr="00965E48">
        <w:rPr>
          <w:rFonts w:ascii="Times New Roman" w:hAnsi="Times New Roman" w:cs="Times New Roman"/>
          <w:b/>
          <w:bCs/>
        </w:rPr>
        <w:lastRenderedPageBreak/>
        <w:t>INTRODUCTION</w:t>
      </w:r>
    </w:p>
    <w:p w14:paraId="4EFBFC0B" w14:textId="77777777" w:rsidR="00406788" w:rsidRDefault="009B51FE" w:rsidP="00965E48">
      <w:pPr>
        <w:spacing w:before="240" w:line="360" w:lineRule="auto"/>
        <w:jc w:val="both"/>
        <w:rPr>
          <w:rFonts w:ascii="Times New Roman" w:hAnsi="Times New Roman" w:cs="Times New Roman"/>
        </w:rPr>
      </w:pPr>
      <w:r w:rsidRPr="009B51FE">
        <w:rPr>
          <w:rFonts w:ascii="Times New Roman" w:hAnsi="Times New Roman" w:cs="Times New Roman"/>
        </w:rPr>
        <w:t xml:space="preserve">Financial crises cannot </w:t>
      </w:r>
      <w:r>
        <w:rPr>
          <w:rFonts w:ascii="Times New Roman" w:hAnsi="Times New Roman" w:cs="Times New Roman"/>
        </w:rPr>
        <w:t>often be</w:t>
      </w:r>
      <w:r w:rsidRPr="009B51FE">
        <w:rPr>
          <w:rFonts w:ascii="Times New Roman" w:hAnsi="Times New Roman" w:cs="Times New Roman"/>
        </w:rPr>
        <w:t xml:space="preserve"> explained by one factor; they have common elements and arise in various forms. Ordinarily, financial crises deal with one or more of the chasing events: asset price booms and busts, credit booms and busts, and </w:t>
      </w:r>
      <w:r w:rsidR="00406788">
        <w:rPr>
          <w:rFonts w:ascii="Times New Roman" w:hAnsi="Times New Roman" w:cs="Times New Roman"/>
        </w:rPr>
        <w:t xml:space="preserve">the </w:t>
      </w:r>
      <w:r w:rsidRPr="009B51FE">
        <w:rPr>
          <w:rFonts w:ascii="Times New Roman" w:hAnsi="Times New Roman" w:cs="Times New Roman"/>
        </w:rPr>
        <w:t xml:space="preserve">impact of asset price and credit busts. Financial crises are distinguished </w:t>
      </w:r>
      <w:r w:rsidR="00406788">
        <w:rPr>
          <w:rFonts w:ascii="Times New Roman" w:hAnsi="Times New Roman" w:cs="Times New Roman"/>
        </w:rPr>
        <w:t xml:space="preserve">into </w:t>
      </w:r>
      <w:r w:rsidRPr="009B51FE">
        <w:rPr>
          <w:rFonts w:ascii="Times New Roman" w:hAnsi="Times New Roman" w:cs="Times New Roman"/>
        </w:rPr>
        <w:t xml:space="preserve">two types of crises, which are determined using qualitative methods (currency and sudden stop crises) and judgmental analysis (foreign and domestic debt and banking crises) by Reinhart and </w:t>
      </w:r>
      <w:proofErr w:type="gramStart"/>
      <w:r w:rsidRPr="009B51FE">
        <w:rPr>
          <w:rFonts w:ascii="Times New Roman" w:hAnsi="Times New Roman" w:cs="Times New Roman"/>
        </w:rPr>
        <w:t>Rogoff  (</w:t>
      </w:r>
      <w:proofErr w:type="gramEnd"/>
      <w:r w:rsidRPr="009B51FE">
        <w:rPr>
          <w:rFonts w:ascii="Times New Roman" w:hAnsi="Times New Roman" w:cs="Times New Roman"/>
        </w:rPr>
        <w:t xml:space="preserve">Reinhart &amp; Rogoff, 2009). </w:t>
      </w:r>
      <w:r w:rsidR="00406788">
        <w:rPr>
          <w:rFonts w:ascii="Times New Roman" w:hAnsi="Times New Roman" w:cs="Times New Roman"/>
        </w:rPr>
        <w:t>Many empirical models exist</w:t>
      </w:r>
      <w:r w:rsidRPr="009B51FE">
        <w:rPr>
          <w:rFonts w:ascii="Times New Roman" w:hAnsi="Times New Roman" w:cs="Times New Roman"/>
        </w:rPr>
        <w:t xml:space="preserve"> in the literature, and explanatory variables exist to predict crises and have evolved over time. </w:t>
      </w:r>
    </w:p>
    <w:p w14:paraId="6E27F74B" w14:textId="4EAC7E8B" w:rsidR="00406788" w:rsidRDefault="009B51FE" w:rsidP="009B51FE">
      <w:pPr>
        <w:spacing w:before="240" w:line="360" w:lineRule="auto"/>
        <w:ind w:firstLine="720"/>
        <w:jc w:val="both"/>
      </w:pPr>
      <w:r w:rsidRPr="009B51FE">
        <w:rPr>
          <w:rFonts w:ascii="Times New Roman" w:hAnsi="Times New Roman" w:cs="Times New Roman"/>
        </w:rPr>
        <w:t xml:space="preserve">One of these methods is analyzing stock return, exchange rate, and interest rate movements. In the following, researchers found that exchange rates and stock price co-movement has revealed a strong relationship between the two variables, especially during the crisis period </w:t>
      </w:r>
      <w:proofErr w:type="gramStart"/>
      <w:r w:rsidRPr="009B51FE">
        <w:rPr>
          <w:rFonts w:ascii="Times New Roman" w:hAnsi="Times New Roman" w:cs="Times New Roman"/>
        </w:rPr>
        <w:t>( (</w:t>
      </w:r>
      <w:proofErr w:type="spellStart"/>
      <w:proofErr w:type="gramEnd"/>
      <w:r w:rsidRPr="009B51FE">
        <w:rPr>
          <w:rFonts w:ascii="Times New Roman" w:hAnsi="Times New Roman" w:cs="Times New Roman"/>
        </w:rPr>
        <w:t>Katechos</w:t>
      </w:r>
      <w:proofErr w:type="spellEnd"/>
      <w:r w:rsidRPr="009B51FE">
        <w:rPr>
          <w:rFonts w:ascii="Times New Roman" w:hAnsi="Times New Roman" w:cs="Times New Roman"/>
        </w:rPr>
        <w:t>, 2011), (Lin, 2012), (Tsai, 2012), (</w:t>
      </w:r>
      <w:proofErr w:type="spellStart"/>
      <w:r w:rsidRPr="009B51FE">
        <w:rPr>
          <w:rFonts w:ascii="Times New Roman" w:hAnsi="Times New Roman" w:cs="Times New Roman"/>
        </w:rPr>
        <w:t>Walid</w:t>
      </w:r>
      <w:proofErr w:type="spellEnd"/>
      <w:r w:rsidRPr="009B51FE">
        <w:rPr>
          <w:rFonts w:ascii="Times New Roman" w:hAnsi="Times New Roman" w:cs="Times New Roman"/>
        </w:rPr>
        <w:t xml:space="preserve">, </w:t>
      </w:r>
      <w:proofErr w:type="spellStart"/>
      <w:r w:rsidRPr="009B51FE">
        <w:rPr>
          <w:rFonts w:ascii="Times New Roman" w:hAnsi="Times New Roman" w:cs="Times New Roman"/>
        </w:rPr>
        <w:t>Chaker</w:t>
      </w:r>
      <w:proofErr w:type="spellEnd"/>
      <w:r w:rsidRPr="009B51FE">
        <w:rPr>
          <w:rFonts w:ascii="Times New Roman" w:hAnsi="Times New Roman" w:cs="Times New Roman"/>
        </w:rPr>
        <w:t xml:space="preserve">, Masood, &amp; Fry, 2011)). Analyzing the long-term relationship between two variables, the instability or lack of relationship can be offered </w:t>
      </w:r>
      <w:proofErr w:type="gramStart"/>
      <w:r w:rsidRPr="009B51FE">
        <w:rPr>
          <w:rFonts w:ascii="Times New Roman" w:hAnsi="Times New Roman" w:cs="Times New Roman"/>
        </w:rPr>
        <w:t>( (</w:t>
      </w:r>
      <w:proofErr w:type="spellStart"/>
      <w:proofErr w:type="gramEnd"/>
      <w:r w:rsidRPr="009B51FE">
        <w:rPr>
          <w:rFonts w:ascii="Times New Roman" w:hAnsi="Times New Roman" w:cs="Times New Roman"/>
        </w:rPr>
        <w:t>Diamandis</w:t>
      </w:r>
      <w:proofErr w:type="spellEnd"/>
      <w:r w:rsidRPr="009B51FE">
        <w:rPr>
          <w:rFonts w:ascii="Times New Roman" w:hAnsi="Times New Roman" w:cs="Times New Roman"/>
        </w:rPr>
        <w:t xml:space="preserve"> &amp; </w:t>
      </w:r>
      <w:proofErr w:type="spellStart"/>
      <w:r w:rsidRPr="009B51FE">
        <w:rPr>
          <w:rFonts w:ascii="Times New Roman" w:hAnsi="Times New Roman" w:cs="Times New Roman"/>
        </w:rPr>
        <w:t>Drakos</w:t>
      </w:r>
      <w:proofErr w:type="spellEnd"/>
      <w:r w:rsidRPr="009B51FE">
        <w:rPr>
          <w:rFonts w:ascii="Times New Roman" w:hAnsi="Times New Roman" w:cs="Times New Roman"/>
        </w:rPr>
        <w:t>, 2011), (</w:t>
      </w:r>
      <w:proofErr w:type="spellStart"/>
      <w:r w:rsidRPr="009B51FE">
        <w:rPr>
          <w:rFonts w:ascii="Times New Roman" w:hAnsi="Times New Roman" w:cs="Times New Roman"/>
        </w:rPr>
        <w:t>Nath</w:t>
      </w:r>
      <w:proofErr w:type="spellEnd"/>
      <w:r w:rsidRPr="009B51FE">
        <w:rPr>
          <w:rFonts w:ascii="Times New Roman" w:hAnsi="Times New Roman" w:cs="Times New Roman"/>
        </w:rPr>
        <w:t xml:space="preserve"> &amp; </w:t>
      </w:r>
      <w:proofErr w:type="spellStart"/>
      <w:r w:rsidRPr="009B51FE">
        <w:rPr>
          <w:rFonts w:ascii="Times New Roman" w:hAnsi="Times New Roman" w:cs="Times New Roman"/>
        </w:rPr>
        <w:t>Samanta</w:t>
      </w:r>
      <w:proofErr w:type="spellEnd"/>
      <w:r w:rsidRPr="009B51FE">
        <w:rPr>
          <w:rFonts w:ascii="Times New Roman" w:hAnsi="Times New Roman" w:cs="Times New Roman"/>
        </w:rPr>
        <w:t>, 2003), (</w:t>
      </w:r>
      <w:proofErr w:type="spellStart"/>
      <w:r w:rsidRPr="009B51FE">
        <w:rPr>
          <w:rFonts w:ascii="Times New Roman" w:hAnsi="Times New Roman" w:cs="Times New Roman"/>
        </w:rPr>
        <w:t>Phylaktis</w:t>
      </w:r>
      <w:proofErr w:type="spellEnd"/>
      <w:r w:rsidRPr="009B51FE">
        <w:rPr>
          <w:rFonts w:ascii="Times New Roman" w:hAnsi="Times New Roman" w:cs="Times New Roman"/>
        </w:rPr>
        <w:t xml:space="preserve"> &amp; </w:t>
      </w:r>
      <w:proofErr w:type="spellStart"/>
      <w:r w:rsidRPr="009B51FE">
        <w:rPr>
          <w:rFonts w:ascii="Times New Roman" w:hAnsi="Times New Roman" w:cs="Times New Roman"/>
        </w:rPr>
        <w:t>Ravazzolo</w:t>
      </w:r>
      <w:proofErr w:type="spellEnd"/>
      <w:r w:rsidRPr="009B51FE">
        <w:rPr>
          <w:rFonts w:ascii="Times New Roman" w:hAnsi="Times New Roman" w:cs="Times New Roman"/>
        </w:rPr>
        <w:t>, 2005), (Zhao, 2010), (Choi &amp; Park, 2008)) demonstrates that he stabilized high</w:t>
      </w:r>
      <w:r w:rsidR="00406788">
        <w:rPr>
          <w:rFonts w:ascii="Times New Roman" w:hAnsi="Times New Roman" w:cs="Times New Roman"/>
        </w:rPr>
        <w:t>-</w:t>
      </w:r>
      <w:r w:rsidRPr="009B51FE">
        <w:rPr>
          <w:rFonts w:ascii="Times New Roman" w:hAnsi="Times New Roman" w:cs="Times New Roman"/>
        </w:rPr>
        <w:t xml:space="preserve">interest rates during the currency crises. For this reason, the exchange rate and/or interest rate shocks impress the stock returns </w:t>
      </w:r>
      <w:proofErr w:type="gramStart"/>
      <w:r w:rsidRPr="009B51FE">
        <w:rPr>
          <w:rFonts w:ascii="Times New Roman" w:hAnsi="Times New Roman" w:cs="Times New Roman"/>
        </w:rPr>
        <w:t>( (</w:t>
      </w:r>
      <w:proofErr w:type="gramEnd"/>
      <w:r w:rsidRPr="009B51FE">
        <w:rPr>
          <w:rFonts w:ascii="Times New Roman" w:hAnsi="Times New Roman" w:cs="Times New Roman"/>
        </w:rPr>
        <w:t xml:space="preserve">Ahmad, Ahmad, &amp; </w:t>
      </w:r>
      <w:proofErr w:type="spellStart"/>
      <w:r w:rsidRPr="009B51FE">
        <w:rPr>
          <w:rFonts w:ascii="Times New Roman" w:hAnsi="Times New Roman" w:cs="Times New Roman"/>
        </w:rPr>
        <w:t>Rehman</w:t>
      </w:r>
      <w:proofErr w:type="spellEnd"/>
      <w:r w:rsidRPr="009B51FE">
        <w:rPr>
          <w:rFonts w:ascii="Times New Roman" w:hAnsi="Times New Roman" w:cs="Times New Roman"/>
        </w:rPr>
        <w:t>, 2010), (</w:t>
      </w:r>
      <w:proofErr w:type="spellStart"/>
      <w:r w:rsidRPr="009B51FE">
        <w:rPr>
          <w:rFonts w:ascii="Times New Roman" w:hAnsi="Times New Roman" w:cs="Times New Roman"/>
        </w:rPr>
        <w:t>Pirovano</w:t>
      </w:r>
      <w:proofErr w:type="spellEnd"/>
      <w:r w:rsidRPr="009B51FE">
        <w:rPr>
          <w:rFonts w:ascii="Times New Roman" w:hAnsi="Times New Roman" w:cs="Times New Roman"/>
        </w:rPr>
        <w:t xml:space="preserve">, 2012), (Ioannidis &amp; </w:t>
      </w:r>
      <w:proofErr w:type="spellStart"/>
      <w:r w:rsidRPr="009B51FE">
        <w:rPr>
          <w:rFonts w:ascii="Times New Roman" w:hAnsi="Times New Roman" w:cs="Times New Roman"/>
        </w:rPr>
        <w:t>Kontonikas</w:t>
      </w:r>
      <w:proofErr w:type="spellEnd"/>
      <w:r w:rsidRPr="009B51FE">
        <w:rPr>
          <w:rFonts w:ascii="Times New Roman" w:hAnsi="Times New Roman" w:cs="Times New Roman"/>
        </w:rPr>
        <w:t>, 2008)). Few researchers consider the joint movement of stock prices, exchange rates, and interest rates, unlike others ( (</w:t>
      </w:r>
      <w:proofErr w:type="spellStart"/>
      <w:r w:rsidRPr="009B51FE">
        <w:rPr>
          <w:rFonts w:ascii="Times New Roman" w:hAnsi="Times New Roman" w:cs="Times New Roman"/>
        </w:rPr>
        <w:t>Andries</w:t>
      </w:r>
      <w:proofErr w:type="spellEnd"/>
      <w:r w:rsidRPr="009B51FE">
        <w:rPr>
          <w:rFonts w:ascii="Times New Roman" w:hAnsi="Times New Roman" w:cs="Times New Roman"/>
        </w:rPr>
        <w:t xml:space="preserve">, </w:t>
      </w:r>
      <w:proofErr w:type="spellStart"/>
      <w:r w:rsidRPr="009B51FE">
        <w:rPr>
          <w:rFonts w:ascii="Times New Roman" w:hAnsi="Times New Roman" w:cs="Times New Roman"/>
        </w:rPr>
        <w:t>Alin</w:t>
      </w:r>
      <w:proofErr w:type="spellEnd"/>
      <w:r w:rsidRPr="009B51FE">
        <w:rPr>
          <w:rFonts w:ascii="Times New Roman" w:hAnsi="Times New Roman" w:cs="Times New Roman"/>
        </w:rPr>
        <w:t xml:space="preserve"> Marius; </w:t>
      </w:r>
      <w:proofErr w:type="spellStart"/>
      <w:r w:rsidRPr="009B51FE">
        <w:rPr>
          <w:rFonts w:ascii="Times New Roman" w:hAnsi="Times New Roman" w:cs="Times New Roman"/>
        </w:rPr>
        <w:t>Ihnatov</w:t>
      </w:r>
      <w:proofErr w:type="spellEnd"/>
      <w:r w:rsidRPr="009B51FE">
        <w:rPr>
          <w:rFonts w:ascii="Times New Roman" w:hAnsi="Times New Roman" w:cs="Times New Roman"/>
        </w:rPr>
        <w:t xml:space="preserve">, Iulian; Tiwari, </w:t>
      </w:r>
      <w:proofErr w:type="spellStart"/>
      <w:r w:rsidRPr="009B51FE">
        <w:rPr>
          <w:rFonts w:ascii="Times New Roman" w:hAnsi="Times New Roman" w:cs="Times New Roman"/>
        </w:rPr>
        <w:t>Aviral</w:t>
      </w:r>
      <w:proofErr w:type="spellEnd"/>
      <w:r w:rsidRPr="009B51FE">
        <w:rPr>
          <w:rFonts w:ascii="Times New Roman" w:hAnsi="Times New Roman" w:cs="Times New Roman"/>
        </w:rPr>
        <w:t xml:space="preserve"> Kumar, 2014), (Gupta, Chevalier, </w:t>
      </w:r>
      <w:proofErr w:type="spellStart"/>
      <w:r w:rsidRPr="009B51FE">
        <w:rPr>
          <w:rFonts w:ascii="Times New Roman" w:hAnsi="Times New Roman" w:cs="Times New Roman"/>
        </w:rPr>
        <w:t>Sayekt</w:t>
      </w:r>
      <w:proofErr w:type="spellEnd"/>
      <w:r w:rsidRPr="009B51FE">
        <w:rPr>
          <w:rFonts w:ascii="Times New Roman" w:hAnsi="Times New Roman" w:cs="Times New Roman"/>
        </w:rPr>
        <w:t>, &amp; others, 2001), (</w:t>
      </w:r>
      <w:proofErr w:type="spellStart"/>
      <w:r w:rsidRPr="009B51FE">
        <w:rPr>
          <w:rFonts w:ascii="Times New Roman" w:hAnsi="Times New Roman" w:cs="Times New Roman"/>
        </w:rPr>
        <w:t>Hamrita</w:t>
      </w:r>
      <w:proofErr w:type="spellEnd"/>
      <w:r w:rsidRPr="009B51FE">
        <w:rPr>
          <w:rFonts w:ascii="Times New Roman" w:hAnsi="Times New Roman" w:cs="Times New Roman"/>
        </w:rPr>
        <w:t xml:space="preserve"> &amp; </w:t>
      </w:r>
      <w:proofErr w:type="spellStart"/>
      <w:r w:rsidRPr="009B51FE">
        <w:rPr>
          <w:rFonts w:ascii="Times New Roman" w:hAnsi="Times New Roman" w:cs="Times New Roman"/>
        </w:rPr>
        <w:t>Trifi</w:t>
      </w:r>
      <w:proofErr w:type="spellEnd"/>
      <w:r w:rsidRPr="009B51FE">
        <w:rPr>
          <w:rFonts w:ascii="Times New Roman" w:hAnsi="Times New Roman" w:cs="Times New Roman"/>
        </w:rPr>
        <w:t>, 2011), (</w:t>
      </w:r>
      <w:proofErr w:type="spellStart"/>
      <w:r w:rsidRPr="009B51FE">
        <w:rPr>
          <w:rFonts w:ascii="Times New Roman" w:hAnsi="Times New Roman" w:cs="Times New Roman"/>
        </w:rPr>
        <w:t>Mok</w:t>
      </w:r>
      <w:proofErr w:type="spellEnd"/>
      <w:r w:rsidRPr="009B51FE">
        <w:rPr>
          <w:rFonts w:ascii="Times New Roman" w:hAnsi="Times New Roman" w:cs="Times New Roman"/>
        </w:rPr>
        <w:t xml:space="preserve">, 1993)). </w:t>
      </w:r>
      <w:r w:rsidR="00406788">
        <w:t>The first study’s</w:t>
      </w:r>
      <w:r w:rsidR="00406788" w:rsidRPr="00406788">
        <w:t xml:space="preserve"> main objective is to investigate the structure of </w:t>
      </w:r>
      <w:r w:rsidR="00406788">
        <w:t xml:space="preserve">the </w:t>
      </w:r>
      <w:r w:rsidR="00406788" w:rsidRPr="00406788">
        <w:t xml:space="preserve">dynamic correlation of stock return, exchange rate, interest rate, and trade balance differences in crisis periods using wavelet coherency analysis. </w:t>
      </w:r>
    </w:p>
    <w:p w14:paraId="78297195" w14:textId="123B13EA" w:rsidR="00902DA3" w:rsidRPr="009B51FE" w:rsidRDefault="00406788" w:rsidP="009B51FE">
      <w:pPr>
        <w:spacing w:before="240" w:line="360" w:lineRule="auto"/>
        <w:ind w:firstLine="720"/>
        <w:jc w:val="both"/>
        <w:rPr>
          <w:rFonts w:ascii="Times New Roman" w:hAnsi="Times New Roman" w:cs="Times New Roman"/>
        </w:rPr>
      </w:pPr>
      <w:r>
        <w:rPr>
          <w:rFonts w:ascii="Times New Roman" w:hAnsi="Times New Roman" w:cs="Times New Roman"/>
        </w:rPr>
        <w:t>Furthermore, v</w:t>
      </w:r>
      <w:r w:rsidR="009B51FE" w:rsidRPr="009B51FE">
        <w:rPr>
          <w:rFonts w:ascii="Times New Roman" w:hAnsi="Times New Roman" w:cs="Times New Roman"/>
        </w:rPr>
        <w:t xml:space="preserve">arious studies in the literature explore the derivative financial instrument called credit default swap (CDS) and stock exchange relations during crisis periods. CDS is one of the successful financial invitations of the last few years due to its use as a risk perception indicator by analysts, governments, and decision-makers </w:t>
      </w:r>
      <w:r w:rsidR="009B51FE" w:rsidRPr="009B51FE">
        <w:rPr>
          <w:rFonts w:ascii="Times New Roman" w:hAnsi="Times New Roman" w:cs="Times New Roman"/>
        </w:rPr>
        <w:lastRenderedPageBreak/>
        <w:t>(</w:t>
      </w:r>
      <w:proofErr w:type="spellStart"/>
      <w:r w:rsidR="009B51FE" w:rsidRPr="009B51FE">
        <w:rPr>
          <w:rFonts w:ascii="Times New Roman" w:hAnsi="Times New Roman" w:cs="Times New Roman"/>
        </w:rPr>
        <w:t>Asandului</w:t>
      </w:r>
      <w:proofErr w:type="spellEnd"/>
      <w:r w:rsidR="009B51FE" w:rsidRPr="009B51FE">
        <w:rPr>
          <w:rFonts w:ascii="Times New Roman" w:hAnsi="Times New Roman" w:cs="Times New Roman"/>
        </w:rPr>
        <w:t xml:space="preserve">, </w:t>
      </w:r>
      <w:proofErr w:type="spellStart"/>
      <w:r w:rsidR="009B51FE" w:rsidRPr="009B51FE">
        <w:rPr>
          <w:rFonts w:ascii="Times New Roman" w:hAnsi="Times New Roman" w:cs="Times New Roman"/>
        </w:rPr>
        <w:t>Mircea</w:t>
      </w:r>
      <w:proofErr w:type="spellEnd"/>
      <w:r w:rsidR="009B51FE" w:rsidRPr="009B51FE">
        <w:rPr>
          <w:rFonts w:ascii="Times New Roman" w:hAnsi="Times New Roman" w:cs="Times New Roman"/>
        </w:rPr>
        <w:t xml:space="preserve">; </w:t>
      </w:r>
      <w:proofErr w:type="spellStart"/>
      <w:r w:rsidR="009B51FE" w:rsidRPr="009B51FE">
        <w:rPr>
          <w:rFonts w:ascii="Times New Roman" w:hAnsi="Times New Roman" w:cs="Times New Roman"/>
        </w:rPr>
        <w:t>Lupu</w:t>
      </w:r>
      <w:proofErr w:type="spellEnd"/>
      <w:r w:rsidR="009B51FE" w:rsidRPr="009B51FE">
        <w:rPr>
          <w:rFonts w:ascii="Times New Roman" w:hAnsi="Times New Roman" w:cs="Times New Roman"/>
        </w:rPr>
        <w:t xml:space="preserve">, Dan; </w:t>
      </w:r>
      <w:proofErr w:type="spellStart"/>
      <w:r w:rsidR="009B51FE" w:rsidRPr="009B51FE">
        <w:rPr>
          <w:rFonts w:ascii="Times New Roman" w:hAnsi="Times New Roman" w:cs="Times New Roman"/>
        </w:rPr>
        <w:t>Claudiu</w:t>
      </w:r>
      <w:proofErr w:type="spellEnd"/>
      <w:r w:rsidR="009B51FE" w:rsidRPr="009B51FE">
        <w:rPr>
          <w:rFonts w:ascii="Times New Roman" w:hAnsi="Times New Roman" w:cs="Times New Roman"/>
        </w:rPr>
        <w:t xml:space="preserve">, Gabriel; </w:t>
      </w:r>
      <w:proofErr w:type="spellStart"/>
      <w:r w:rsidR="009B51FE" w:rsidRPr="009B51FE">
        <w:rPr>
          <w:rFonts w:ascii="Times New Roman" w:hAnsi="Times New Roman" w:cs="Times New Roman"/>
        </w:rPr>
        <w:t>Musetescu</w:t>
      </w:r>
      <w:proofErr w:type="spellEnd"/>
      <w:r w:rsidR="009B51FE" w:rsidRPr="009B51FE">
        <w:rPr>
          <w:rFonts w:ascii="Times New Roman" w:hAnsi="Times New Roman" w:cs="Times New Roman"/>
        </w:rPr>
        <w:t xml:space="preserve">, </w:t>
      </w:r>
      <w:proofErr w:type="spellStart"/>
      <w:r w:rsidR="009B51FE" w:rsidRPr="009B51FE">
        <w:rPr>
          <w:rFonts w:ascii="Times New Roman" w:hAnsi="Times New Roman" w:cs="Times New Roman"/>
        </w:rPr>
        <w:t>Radu</w:t>
      </w:r>
      <w:proofErr w:type="spellEnd"/>
      <w:r w:rsidR="009B51FE" w:rsidRPr="009B51FE">
        <w:rPr>
          <w:rFonts w:ascii="Times New Roman" w:hAnsi="Times New Roman" w:cs="Times New Roman"/>
        </w:rPr>
        <w:t>, 2015). From local or regional events to global events, they can influence by many various factors. Therefore, sovereign CDS is used to establish a connection between financial crises and sectoral default probabilities.</w:t>
      </w:r>
      <w:r>
        <w:rPr>
          <w:rFonts w:ascii="Times New Roman" w:hAnsi="Times New Roman" w:cs="Times New Roman"/>
        </w:rPr>
        <w:t xml:space="preserve"> </w:t>
      </w:r>
      <w:r w:rsidR="00E15155">
        <w:t>The second study’s</w:t>
      </w:r>
      <w:r w:rsidR="00E15155" w:rsidRPr="00406788">
        <w:t xml:space="preserve"> main objective is to investigate the</w:t>
      </w:r>
      <w:r w:rsidR="00E15155">
        <w:t xml:space="preserve"> co-movement of the</w:t>
      </w:r>
      <w:r w:rsidR="00E15155" w:rsidRPr="00406788">
        <w:t xml:space="preserve"> </w:t>
      </w:r>
      <w:r w:rsidR="00E15155">
        <w:t xml:space="preserve">real sector default probabilities and CDS in crisis periods using wavelet </w:t>
      </w:r>
      <w:r w:rsidR="00E15155" w:rsidRPr="00406788">
        <w:t xml:space="preserve">coherency </w:t>
      </w:r>
      <w:r w:rsidR="00E15155">
        <w:t>analysis.</w:t>
      </w:r>
    </w:p>
    <w:p w14:paraId="0A288863" w14:textId="71C9B32A" w:rsidR="00901E5F" w:rsidRDefault="00C41525" w:rsidP="00965E48">
      <w:pPr>
        <w:spacing w:before="240" w:line="360" w:lineRule="auto"/>
        <w:jc w:val="both"/>
        <w:rPr>
          <w:rFonts w:ascii="Times New Roman" w:hAnsi="Times New Roman" w:cs="Times New Roman"/>
          <w:b/>
          <w:bCs/>
        </w:rPr>
      </w:pPr>
      <w:r w:rsidRPr="00E7658F">
        <w:rPr>
          <w:rFonts w:ascii="Times New Roman" w:hAnsi="Times New Roman" w:cs="Times New Roman"/>
          <w:b/>
          <w:bCs/>
        </w:rPr>
        <w:t>MATERIALS and METHODS</w:t>
      </w:r>
      <w:r w:rsidR="006B75E8" w:rsidRPr="00E7658F">
        <w:rPr>
          <w:rFonts w:ascii="Times New Roman" w:hAnsi="Times New Roman" w:cs="Times New Roman"/>
          <w:b/>
          <w:bCs/>
        </w:rPr>
        <w:t xml:space="preserve"> </w:t>
      </w:r>
    </w:p>
    <w:p w14:paraId="413A742D" w14:textId="48CD5869" w:rsidR="006F4B12" w:rsidRPr="006F4B12" w:rsidRDefault="006F4B12" w:rsidP="00965E48">
      <w:pPr>
        <w:spacing w:before="240" w:line="360" w:lineRule="auto"/>
        <w:jc w:val="both"/>
        <w:rPr>
          <w:rFonts w:ascii="Times New Roman" w:hAnsi="Times New Roman" w:cs="Times New Roman"/>
        </w:rPr>
      </w:pPr>
      <w:r w:rsidRPr="006F4B12">
        <w:rPr>
          <w:rFonts w:ascii="Times New Roman" w:hAnsi="Times New Roman" w:cs="Times New Roman"/>
        </w:rPr>
        <w:t>This study consists of three independent parts</w:t>
      </w:r>
      <w:r>
        <w:rPr>
          <w:rFonts w:ascii="Times New Roman" w:hAnsi="Times New Roman" w:cs="Times New Roman"/>
        </w:rPr>
        <w:t>. For this reason, materials and methods are mentioned separately.</w:t>
      </w:r>
    </w:p>
    <w:p w14:paraId="7C9A8153" w14:textId="1DAE30AE" w:rsidR="004149A5" w:rsidRDefault="006F4B12" w:rsidP="00965E48">
      <w:pPr>
        <w:spacing w:before="240" w:line="360" w:lineRule="auto"/>
        <w:jc w:val="both"/>
        <w:rPr>
          <w:rFonts w:ascii="Times New Roman" w:hAnsi="Times New Roman" w:cs="Times New Roman"/>
          <w:b/>
          <w:bCs/>
        </w:rPr>
      </w:pPr>
      <w:r>
        <w:rPr>
          <w:rFonts w:ascii="Times New Roman" w:hAnsi="Times New Roman" w:cs="Times New Roman"/>
          <w:b/>
          <w:bCs/>
        </w:rPr>
        <w:t>Chapter 1</w:t>
      </w:r>
    </w:p>
    <w:p w14:paraId="3E8E37D0" w14:textId="708031B8" w:rsidR="006F4B12" w:rsidRDefault="00856C2D" w:rsidP="00965E48">
      <w:pPr>
        <w:spacing w:before="240" w:line="360" w:lineRule="auto"/>
        <w:jc w:val="both"/>
        <w:rPr>
          <w:rFonts w:ascii="Times New Roman" w:hAnsi="Times New Roman" w:cs="Times New Roman"/>
        </w:rPr>
      </w:pPr>
      <w:r>
        <w:rPr>
          <w:rFonts w:ascii="Times New Roman" w:hAnsi="Times New Roman" w:cs="Times New Roman"/>
        </w:rPr>
        <w:t xml:space="preserve">The first part </w:t>
      </w:r>
      <w:r w:rsidR="00793B4C">
        <w:rPr>
          <w:rFonts w:ascii="Times New Roman" w:hAnsi="Times New Roman" w:cs="Times New Roman"/>
        </w:rPr>
        <w:t>of</w:t>
      </w:r>
      <w:r w:rsidR="00865439">
        <w:rPr>
          <w:rFonts w:ascii="Times New Roman" w:hAnsi="Times New Roman" w:cs="Times New Roman"/>
        </w:rPr>
        <w:t xml:space="preserve"> the study </w:t>
      </w:r>
      <w:r>
        <w:rPr>
          <w:rFonts w:ascii="Times New Roman" w:hAnsi="Times New Roman" w:cs="Times New Roman"/>
        </w:rPr>
        <w:t>analyzes stock returns’ co-movements with other leading indicators in crisis periods</w:t>
      </w:r>
      <w:r w:rsidRPr="00856C2D">
        <w:rPr>
          <w:rFonts w:ascii="Times New Roman" w:hAnsi="Times New Roman" w:cs="Times New Roman"/>
        </w:rPr>
        <w:t xml:space="preserve"> with multiple and quadruple wavelet coherence using </w:t>
      </w:r>
      <w:r w:rsidR="00661994">
        <w:rPr>
          <w:rFonts w:ascii="Times New Roman" w:hAnsi="Times New Roman" w:cs="Times New Roman"/>
        </w:rPr>
        <w:t>Turkey’s interest rate, exchange rate, and trade balance differences. The data are collected monthly from October 1990 to March 2015, which is 294 observations. All the series are expressed as log-difference returns and expressed as:</w:t>
      </w:r>
      <w:r w:rsidR="00661994">
        <w:t xml:space="preserve"> </w:t>
      </w:r>
      <m:oMath>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=100×</m:t>
        </m:r>
        <m:r>
          <m:rPr>
            <m:sty m:val="p"/>
          </m:rPr>
          <w:rPr>
            <w:rFonts w:ascii="Cambria Math" w:hAnsi="Cambria Math"/>
          </w:rPr>
          <m:t>ln</m:t>
        </m:r>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t-1</m:t>
            </m:r>
          </m:sub>
        </m:sSub>
        <m:r>
          <w:rPr>
            <w:rFonts w:ascii="Cambria Math" w:hAnsi="Cambria Math"/>
          </w:rPr>
          <m:t>)</m:t>
        </m:r>
      </m:oMath>
      <w:r w:rsidR="00661994">
        <w:t xml:space="preserve">; where </w:t>
      </w:r>
      <m:oMath>
        <m:sSub>
          <m:sSubPr>
            <m:ctrlPr>
              <w:rPr>
                <w:rFonts w:ascii="Cambria Math" w:hAnsi="Cambria Math"/>
              </w:rPr>
            </m:ctrlPr>
          </m:sSubPr>
          <m:e>
            <m:r>
              <w:rPr>
                <w:rFonts w:ascii="Cambria Math" w:hAnsi="Cambria Math"/>
              </w:rPr>
              <m:t>R</m:t>
            </m:r>
          </m:e>
          <m:sub>
            <m:r>
              <w:rPr>
                <w:rFonts w:ascii="Cambria Math" w:hAnsi="Cambria Math"/>
              </w:rPr>
              <m:t>t</m:t>
            </m:r>
          </m:sub>
        </m:sSub>
      </m:oMath>
      <w:r w:rsidR="00661994">
        <w:t xml:space="preserve"> is the return in percent and </w:t>
      </w:r>
      <m:oMath>
        <m:sSub>
          <m:sSubPr>
            <m:ctrlPr>
              <w:rPr>
                <w:rFonts w:ascii="Cambria Math" w:hAnsi="Cambria Math"/>
              </w:rPr>
            </m:ctrlPr>
          </m:sSubPr>
          <m:e>
            <m:r>
              <w:rPr>
                <w:rFonts w:ascii="Cambria Math" w:hAnsi="Cambria Math"/>
              </w:rPr>
              <m:t>P</m:t>
            </m:r>
          </m:e>
          <m:sub>
            <m:r>
              <w:rPr>
                <w:rFonts w:ascii="Cambria Math" w:hAnsi="Cambria Math"/>
              </w:rPr>
              <m:t>t</m:t>
            </m:r>
          </m:sub>
        </m:sSub>
      </m:oMath>
      <w:r w:rsidR="00661994">
        <w:t xml:space="preserve"> and </w:t>
      </w:r>
      <m:oMath>
        <m:sSub>
          <m:sSubPr>
            <m:ctrlPr>
              <w:rPr>
                <w:rFonts w:ascii="Cambria Math" w:hAnsi="Cambria Math"/>
              </w:rPr>
            </m:ctrlPr>
          </m:sSubPr>
          <m:e>
            <m:r>
              <w:rPr>
                <w:rFonts w:ascii="Cambria Math" w:hAnsi="Cambria Math"/>
              </w:rPr>
              <m:t>P</m:t>
            </m:r>
          </m:e>
          <m:sub>
            <m:r>
              <w:rPr>
                <w:rFonts w:ascii="Cambria Math" w:hAnsi="Cambria Math"/>
              </w:rPr>
              <m:t>t-1</m:t>
            </m:r>
          </m:sub>
        </m:sSub>
      </m:oMath>
      <w:r w:rsidR="00661994">
        <w:t xml:space="preserve"> denote the closing price on time </w:t>
      </w:r>
      <m:oMath>
        <m:r>
          <w:rPr>
            <w:rFonts w:ascii="Cambria Math" w:hAnsi="Cambria Math"/>
          </w:rPr>
          <m:t>t</m:t>
        </m:r>
      </m:oMath>
      <w:r w:rsidR="00661994">
        <w:t xml:space="preserve"> and </w:t>
      </w:r>
      <m:oMath>
        <m:r>
          <w:rPr>
            <w:rFonts w:ascii="Cambria Math" w:hAnsi="Cambria Math"/>
          </w:rPr>
          <m:t>t-1</m:t>
        </m:r>
      </m:oMath>
      <w:r w:rsidR="00661994">
        <w:t xml:space="preserve">, respectively. </w:t>
      </w:r>
      <w:r w:rsidR="00661994">
        <w:rPr>
          <w:rFonts w:ascii="Times New Roman" w:hAnsi="Times New Roman" w:cs="Times New Roman"/>
        </w:rPr>
        <w:t xml:space="preserve"> </w:t>
      </w:r>
    </w:p>
    <w:p w14:paraId="2809FA45" w14:textId="1AEB847A" w:rsidR="00AE7447" w:rsidRDefault="00AE7447" w:rsidP="00965E48">
      <w:pPr>
        <w:spacing w:before="240" w:line="360" w:lineRule="auto"/>
        <w:jc w:val="both"/>
        <w:rPr>
          <w:rFonts w:ascii="Times New Roman" w:hAnsi="Times New Roman" w:cs="Times New Roman"/>
        </w:rPr>
      </w:pPr>
      <w:r>
        <w:rPr>
          <w:rFonts w:ascii="Times New Roman" w:hAnsi="Times New Roman" w:cs="Times New Roman"/>
        </w:rPr>
        <w:tab/>
        <w:t xml:space="preserve">Firstly, preliminary analyses are done for all variables to illustrate series characteristics. Considering preliminary analysis flowing tests are evaluated: normality, autocorrelation, stationary, heteroscedasticity, </w:t>
      </w:r>
      <w:r w:rsidR="006606CE">
        <w:rPr>
          <w:rFonts w:ascii="Times New Roman" w:hAnsi="Times New Roman" w:cs="Times New Roman"/>
        </w:rPr>
        <w:t xml:space="preserve">and </w:t>
      </w:r>
      <w:r>
        <w:rPr>
          <w:rFonts w:ascii="Times New Roman" w:hAnsi="Times New Roman" w:cs="Times New Roman"/>
        </w:rPr>
        <w:t>correlation</w:t>
      </w:r>
      <w:r w:rsidR="006606CE">
        <w:rPr>
          <w:rFonts w:ascii="Times New Roman" w:hAnsi="Times New Roman" w:cs="Times New Roman"/>
        </w:rPr>
        <w:t xml:space="preserve"> between variables</w:t>
      </w:r>
      <w:r>
        <w:rPr>
          <w:rFonts w:ascii="Times New Roman" w:hAnsi="Times New Roman" w:cs="Times New Roman"/>
        </w:rPr>
        <w:t>.</w:t>
      </w:r>
      <w:r w:rsidR="006606CE">
        <w:rPr>
          <w:rFonts w:ascii="Times New Roman" w:hAnsi="Times New Roman" w:cs="Times New Roman"/>
        </w:rPr>
        <w:t xml:space="preserve"> </w:t>
      </w:r>
      <w:r w:rsidR="001A6322">
        <w:rPr>
          <w:rFonts w:ascii="Times New Roman" w:hAnsi="Times New Roman" w:cs="Times New Roman"/>
        </w:rPr>
        <w:t>T</w:t>
      </w:r>
      <w:r w:rsidR="00E55BBA">
        <w:rPr>
          <w:rFonts w:ascii="Times New Roman" w:hAnsi="Times New Roman" w:cs="Times New Roman"/>
        </w:rPr>
        <w:t>he continuous wavelet transform (CWT) analysis is applied for univariate analysis to better view for cris</w:t>
      </w:r>
      <w:r w:rsidR="0051585C">
        <w:rPr>
          <w:rFonts w:ascii="Times New Roman" w:hAnsi="Times New Roman" w:cs="Times New Roman"/>
        </w:rPr>
        <w:t>i</w:t>
      </w:r>
      <w:r w:rsidR="00E55BBA">
        <w:rPr>
          <w:rFonts w:ascii="Times New Roman" w:hAnsi="Times New Roman" w:cs="Times New Roman"/>
        </w:rPr>
        <w:t>s period</w:t>
      </w:r>
      <w:r w:rsidR="001A6322">
        <w:rPr>
          <w:rFonts w:ascii="Times New Roman" w:hAnsi="Times New Roman" w:cs="Times New Roman"/>
        </w:rPr>
        <w:t xml:space="preserve">. Next, </w:t>
      </w:r>
      <w:r w:rsidR="00793B4C">
        <w:rPr>
          <w:rFonts w:ascii="Times New Roman" w:hAnsi="Times New Roman" w:cs="Times New Roman"/>
        </w:rPr>
        <w:t>t</w:t>
      </w:r>
      <w:r w:rsidR="0051585C">
        <w:rPr>
          <w:rFonts w:ascii="Times New Roman" w:hAnsi="Times New Roman" w:cs="Times New Roman"/>
        </w:rPr>
        <w:t xml:space="preserve">he cross-wavelet (XWT) and wavelet coherence (WTC) analyses are employed to understand the dynamic co-movement between series. In addition, multiple (MWC) and quadruple (QWC) wavelet coherence analyses are used to understand high dimensional relationships. Finally, </w:t>
      </w:r>
      <w:r w:rsidR="008C6135">
        <w:rPr>
          <w:rFonts w:ascii="Times New Roman" w:hAnsi="Times New Roman" w:cs="Times New Roman"/>
        </w:rPr>
        <w:t xml:space="preserve">the </w:t>
      </w:r>
      <w:r w:rsidR="0051585C">
        <w:rPr>
          <w:rFonts w:ascii="Times New Roman" w:hAnsi="Times New Roman" w:cs="Times New Roman"/>
        </w:rPr>
        <w:t xml:space="preserve">scale-by-scale </w:t>
      </w:r>
      <w:r w:rsidR="008C6135">
        <w:rPr>
          <w:rFonts w:ascii="Times New Roman" w:hAnsi="Times New Roman" w:cs="Times New Roman"/>
        </w:rPr>
        <w:t xml:space="preserve">forecasting procedure is proposed, and selected crisis regions in quadruple wavelet coherence are used for the forecasting. </w:t>
      </w:r>
    </w:p>
    <w:p w14:paraId="5FC8E378" w14:textId="77777777" w:rsidR="00C40957" w:rsidRDefault="00C40957" w:rsidP="009A3371">
      <w:pPr>
        <w:spacing w:before="240" w:line="360" w:lineRule="auto"/>
        <w:jc w:val="both"/>
        <w:rPr>
          <w:rFonts w:ascii="Times New Roman" w:hAnsi="Times New Roman" w:cs="Times New Roman"/>
          <w:b/>
          <w:bCs/>
        </w:rPr>
      </w:pPr>
    </w:p>
    <w:p w14:paraId="5ABE29D8" w14:textId="5BEAF514" w:rsidR="009A3371" w:rsidRDefault="009A3371" w:rsidP="009A3371">
      <w:pPr>
        <w:spacing w:before="240" w:line="360" w:lineRule="auto"/>
        <w:jc w:val="both"/>
        <w:rPr>
          <w:rFonts w:ascii="Times New Roman" w:hAnsi="Times New Roman" w:cs="Times New Roman"/>
          <w:b/>
          <w:bCs/>
        </w:rPr>
      </w:pPr>
      <w:r>
        <w:rPr>
          <w:rFonts w:ascii="Times New Roman" w:hAnsi="Times New Roman" w:cs="Times New Roman"/>
          <w:b/>
          <w:bCs/>
        </w:rPr>
        <w:lastRenderedPageBreak/>
        <w:t>Chapter 2</w:t>
      </w:r>
    </w:p>
    <w:p w14:paraId="71CC50BF" w14:textId="5C4A318F" w:rsidR="00D452D3" w:rsidRDefault="00D452D3" w:rsidP="00032588">
      <w:pPr>
        <w:spacing w:before="240" w:line="360" w:lineRule="auto"/>
        <w:jc w:val="both"/>
        <w:rPr>
          <w:rFonts w:ascii="Times New Roman" w:hAnsi="Times New Roman" w:cs="Times New Roman"/>
        </w:rPr>
      </w:pPr>
      <w:r>
        <w:rPr>
          <w:rFonts w:ascii="Times New Roman" w:hAnsi="Times New Roman" w:cs="Times New Roman"/>
        </w:rPr>
        <w:t>The second part examined the multifractal characteristics of sectoral default probabilities of the real sector in Turkey and Turkey’s sovereign CDS rates</w:t>
      </w:r>
      <w:r w:rsidRPr="009A5986">
        <w:rPr>
          <w:rFonts w:ascii="Times New Roman" w:hAnsi="Times New Roman" w:cs="Times New Roman"/>
        </w:rPr>
        <w:t xml:space="preserve"> by detrended fluctuation analysis.</w:t>
      </w:r>
      <w:r>
        <w:rPr>
          <w:rFonts w:ascii="Times New Roman" w:hAnsi="Times New Roman" w:cs="Times New Roman"/>
        </w:rPr>
        <w:t xml:space="preserve"> The data sources are divided into two parts, and the data covers the period between January 2001 and March 2018. The first is the real sector firm’s quarterly balance sheet data in BIST 100, and the second one is weekly basis market data which are stock price, interest rate, and CDS rates. </w:t>
      </w:r>
      <w:r w:rsidR="006B678B">
        <w:rPr>
          <w:rFonts w:ascii="Times New Roman" w:hAnsi="Times New Roman" w:cs="Times New Roman"/>
        </w:rPr>
        <w:t>The data are collected from Thomson Reuters data services, and 900 observations exist.</w:t>
      </w:r>
    </w:p>
    <w:p w14:paraId="52E08031" w14:textId="40C5050F" w:rsidR="004F0730" w:rsidRDefault="0034181C" w:rsidP="00032588">
      <w:pPr>
        <w:spacing w:before="240" w:line="360" w:lineRule="auto"/>
        <w:jc w:val="both"/>
        <w:rPr>
          <w:rFonts w:ascii="Times New Roman" w:hAnsi="Times New Roman" w:cs="Times New Roman"/>
        </w:rPr>
      </w:pPr>
      <w:r>
        <w:rPr>
          <w:rFonts w:ascii="Times New Roman" w:hAnsi="Times New Roman" w:cs="Times New Roman"/>
        </w:rPr>
        <w:tab/>
      </w:r>
      <w:r w:rsidR="009B545E">
        <w:rPr>
          <w:rFonts w:ascii="Times New Roman" w:hAnsi="Times New Roman" w:cs="Times New Roman"/>
        </w:rPr>
        <w:t>In the first part, real sector default probabilities are calculated using Moody’s KMV expected default frequency methodology. The Re</w:t>
      </w:r>
      <w:r w:rsidR="00C13329">
        <w:rPr>
          <w:rFonts w:ascii="Times New Roman" w:hAnsi="Times New Roman" w:cs="Times New Roman"/>
        </w:rPr>
        <w:t>ut</w:t>
      </w:r>
      <w:r w:rsidR="009B545E">
        <w:rPr>
          <w:rFonts w:ascii="Times New Roman" w:hAnsi="Times New Roman" w:cs="Times New Roman"/>
        </w:rPr>
        <w:t>ers sector descriptions are considered to evaluate sectoral default probabilities.</w:t>
      </w:r>
      <w:r w:rsidR="00ED02DD">
        <w:rPr>
          <w:rFonts w:ascii="Times New Roman" w:hAnsi="Times New Roman" w:cs="Times New Roman"/>
        </w:rPr>
        <w:t xml:space="preserve"> </w:t>
      </w:r>
      <w:r w:rsidR="004F0730">
        <w:rPr>
          <w:rFonts w:ascii="Times New Roman" w:hAnsi="Times New Roman" w:cs="Times New Roman"/>
        </w:rPr>
        <w:t xml:space="preserve">The main sectors are Consumer Cyclicals, Industrials, Basic Materials, Consumer Non-Cyclicals, and Utilities. The second part </w:t>
      </w:r>
      <w:r w:rsidR="00F35104">
        <w:rPr>
          <w:rFonts w:ascii="Times New Roman" w:hAnsi="Times New Roman" w:cs="Times New Roman"/>
        </w:rPr>
        <w:t>investigates</w:t>
      </w:r>
      <w:r w:rsidR="004F0730">
        <w:rPr>
          <w:rFonts w:ascii="Times New Roman" w:hAnsi="Times New Roman" w:cs="Times New Roman"/>
        </w:rPr>
        <w:t xml:space="preserve"> the univariate characteristics of the sectoral default probabilities and CDS series called preliminary analysis.</w:t>
      </w:r>
      <w:r w:rsidR="0011165E">
        <w:rPr>
          <w:rFonts w:ascii="Times New Roman" w:hAnsi="Times New Roman" w:cs="Times New Roman"/>
        </w:rPr>
        <w:t xml:space="preserve"> This section mainly focuses on stationarity and fractality</w:t>
      </w:r>
      <w:r w:rsidR="00F35104">
        <w:rPr>
          <w:rFonts w:ascii="Times New Roman" w:hAnsi="Times New Roman" w:cs="Times New Roman"/>
        </w:rPr>
        <w:t xml:space="preserve">; </w:t>
      </w:r>
      <w:r w:rsidR="0011165E">
        <w:rPr>
          <w:rFonts w:ascii="Times New Roman" w:hAnsi="Times New Roman" w:cs="Times New Roman"/>
        </w:rPr>
        <w:t>both stationarity tests, which are ADF, PP, KPSS, and PSR, and the Hurst exponents</w:t>
      </w:r>
      <w:r w:rsidR="00D147A8">
        <w:rPr>
          <w:rFonts w:ascii="Times New Roman" w:hAnsi="Times New Roman" w:cs="Times New Roman"/>
        </w:rPr>
        <w:t xml:space="preserve"> in different methods</w:t>
      </w:r>
      <w:r w:rsidR="0011165E">
        <w:rPr>
          <w:rFonts w:ascii="Times New Roman" w:hAnsi="Times New Roman" w:cs="Times New Roman"/>
        </w:rPr>
        <w:t>, are evaluated.</w:t>
      </w:r>
      <w:r w:rsidR="0045779D">
        <w:rPr>
          <w:rFonts w:ascii="Times New Roman" w:hAnsi="Times New Roman" w:cs="Times New Roman"/>
        </w:rPr>
        <w:t xml:space="preserve"> The third section examines univariate and bivariate multifractal characteristics, and q-order Hurst exponent and local-pointwise </w:t>
      </w:r>
      <w:proofErr w:type="spellStart"/>
      <w:r w:rsidR="0045779D">
        <w:rPr>
          <w:rFonts w:ascii="Times New Roman" w:hAnsi="Times New Roman" w:cs="Times New Roman"/>
        </w:rPr>
        <w:t>Hölder</w:t>
      </w:r>
      <w:proofErr w:type="spellEnd"/>
      <w:r w:rsidR="0045779D">
        <w:rPr>
          <w:rFonts w:ascii="Times New Roman" w:hAnsi="Times New Roman" w:cs="Times New Roman"/>
        </w:rPr>
        <w:t xml:space="preserve"> exponents are calculated.</w:t>
      </w:r>
      <w:r w:rsidR="00F35104">
        <w:rPr>
          <w:rFonts w:ascii="Times New Roman" w:hAnsi="Times New Roman" w:cs="Times New Roman"/>
        </w:rPr>
        <w:t xml:space="preserve"> </w:t>
      </w:r>
      <w:r w:rsidR="001D336C">
        <w:rPr>
          <w:rFonts w:ascii="Times New Roman" w:hAnsi="Times New Roman" w:cs="Times New Roman"/>
        </w:rPr>
        <w:t>For this reason</w:t>
      </w:r>
      <w:r w:rsidR="009604B6">
        <w:rPr>
          <w:rFonts w:ascii="Times New Roman" w:hAnsi="Times New Roman" w:cs="Times New Roman"/>
        </w:rPr>
        <w:t>, comprehensive multifractal studies are employed, consisting of multifractal detrended fluctuation analysis, detrended cross-correlation analysis, and detrended moving average cross-correlation analysis.</w:t>
      </w:r>
      <w:r w:rsidR="00AC6944">
        <w:rPr>
          <w:rFonts w:ascii="Times New Roman" w:hAnsi="Times New Roman" w:cs="Times New Roman"/>
        </w:rPr>
        <w:t xml:space="preserve"> The </w:t>
      </w:r>
      <w:r w:rsidR="00F35104">
        <w:rPr>
          <w:rFonts w:ascii="Times New Roman" w:hAnsi="Times New Roman" w:cs="Times New Roman"/>
        </w:rPr>
        <w:t>following</w:t>
      </w:r>
      <w:r w:rsidR="00AC6944">
        <w:rPr>
          <w:rFonts w:ascii="Times New Roman" w:hAnsi="Times New Roman" w:cs="Times New Roman"/>
        </w:rPr>
        <w:t xml:space="preserve"> section examines dynamic co-movement using wavelet coherence between different types of </w:t>
      </w:r>
      <w:proofErr w:type="spellStart"/>
      <w:r w:rsidR="00AC6944">
        <w:rPr>
          <w:rFonts w:ascii="Times New Roman" w:hAnsi="Times New Roman" w:cs="Times New Roman"/>
        </w:rPr>
        <w:t>Hölder</w:t>
      </w:r>
      <w:proofErr w:type="spellEnd"/>
      <w:r w:rsidR="00AC6944">
        <w:rPr>
          <w:rFonts w:ascii="Times New Roman" w:hAnsi="Times New Roman" w:cs="Times New Roman"/>
        </w:rPr>
        <w:t xml:space="preserve"> exponents of the sectorial PDs and CDS rates.</w:t>
      </w:r>
      <w:r w:rsidR="00F35104">
        <w:rPr>
          <w:rFonts w:ascii="Times New Roman" w:hAnsi="Times New Roman" w:cs="Times New Roman"/>
        </w:rPr>
        <w:t xml:space="preserve"> Finally, the scale-by-scale forecasting procedure is proposed and selected crisis regions in local </w:t>
      </w:r>
      <w:proofErr w:type="spellStart"/>
      <w:r w:rsidR="00F35104">
        <w:rPr>
          <w:rFonts w:ascii="Times New Roman" w:hAnsi="Times New Roman" w:cs="Times New Roman"/>
        </w:rPr>
        <w:t>Hölder</w:t>
      </w:r>
      <w:proofErr w:type="spellEnd"/>
      <w:r w:rsidR="00F35104">
        <w:rPr>
          <w:rFonts w:ascii="Times New Roman" w:hAnsi="Times New Roman" w:cs="Times New Roman"/>
        </w:rPr>
        <w:t xml:space="preserve"> exponents wavelet coherence are used for the forecasting.</w:t>
      </w:r>
    </w:p>
    <w:p w14:paraId="7789F480" w14:textId="20D5EB9D" w:rsidR="00DB6821" w:rsidRDefault="00DB6821" w:rsidP="00DB6821">
      <w:pPr>
        <w:spacing w:before="240" w:line="360" w:lineRule="auto"/>
        <w:jc w:val="both"/>
        <w:rPr>
          <w:rFonts w:ascii="Times New Roman" w:hAnsi="Times New Roman" w:cs="Times New Roman"/>
          <w:b/>
          <w:bCs/>
        </w:rPr>
      </w:pPr>
      <w:r>
        <w:rPr>
          <w:rFonts w:ascii="Times New Roman" w:hAnsi="Times New Roman" w:cs="Times New Roman"/>
          <w:b/>
          <w:bCs/>
        </w:rPr>
        <w:t>Chapter 3</w:t>
      </w:r>
    </w:p>
    <w:p w14:paraId="49BCBAA1" w14:textId="4F9949F7" w:rsidR="00DB6821" w:rsidRDefault="0076753B" w:rsidP="00DB6821">
      <w:pPr>
        <w:spacing w:before="240" w:line="360" w:lineRule="auto"/>
        <w:jc w:val="both"/>
        <w:rPr>
          <w:rFonts w:ascii="Times New Roman" w:hAnsi="Times New Roman" w:cs="Times New Roman"/>
        </w:rPr>
      </w:pPr>
      <w:r w:rsidRPr="009A5986">
        <w:rPr>
          <w:rFonts w:ascii="Times New Roman" w:hAnsi="Times New Roman" w:cs="Times New Roman"/>
        </w:rPr>
        <w:t xml:space="preserve">The final part of the </w:t>
      </w:r>
      <w:r>
        <w:rPr>
          <w:rFonts w:ascii="Times New Roman" w:hAnsi="Times New Roman" w:cs="Times New Roman"/>
        </w:rPr>
        <w:t>study</w:t>
      </w:r>
      <w:r w:rsidRPr="009A5986">
        <w:rPr>
          <w:rFonts w:ascii="Times New Roman" w:hAnsi="Times New Roman" w:cs="Times New Roman"/>
        </w:rPr>
        <w:t xml:space="preserve"> introduces a new wavelet methodology to handle multivariate time series dynamic co-movements by extending multiple</w:t>
      </w:r>
      <w:r w:rsidR="00832414">
        <w:rPr>
          <w:rFonts w:ascii="Times New Roman" w:hAnsi="Times New Roman" w:cs="Times New Roman"/>
        </w:rPr>
        <w:t xml:space="preserve"> and</w:t>
      </w:r>
      <w:r w:rsidRPr="009A5986">
        <w:rPr>
          <w:rFonts w:ascii="Times New Roman" w:hAnsi="Times New Roman" w:cs="Times New Roman"/>
        </w:rPr>
        <w:t xml:space="preserve"> quadruple wavelet coherence methodologies.</w:t>
      </w:r>
    </w:p>
    <w:p w14:paraId="20ECED0F" w14:textId="4F94D37A" w:rsidR="00EA6358" w:rsidRPr="00EA6358" w:rsidRDefault="00EA6358" w:rsidP="00EA6358">
      <w:pPr>
        <w:spacing w:before="240" w:line="360" w:lineRule="auto"/>
        <w:ind w:firstLine="720"/>
        <w:jc w:val="both"/>
        <w:rPr>
          <w:rFonts w:ascii="Times New Roman" w:hAnsi="Times New Roman" w:cs="Times New Roman"/>
        </w:rPr>
      </w:pPr>
      <w:r w:rsidRPr="00EA6358">
        <w:rPr>
          <w:rFonts w:ascii="Times New Roman" w:hAnsi="Times New Roman" w:cs="Times New Roman"/>
        </w:rPr>
        <w:lastRenderedPageBreak/>
        <w:t xml:space="preserve">The squared n-dimensional vector wavelet coherency between series </w:t>
      </w:r>
      <m:oMath>
        <m:r>
          <w:rPr>
            <w:rFonts w:ascii="Cambria Math" w:hAnsi="Cambria Math" w:cs="Times New Roman"/>
          </w:rPr>
          <m:t>y</m:t>
        </m:r>
      </m:oMath>
      <w:r w:rsidRPr="00EA6358">
        <w:rPr>
          <w:rFonts w:ascii="Times New Roman" w:hAnsi="Times New Roman" w:cs="Times New Roman"/>
        </w:rPr>
        <w:t xml:space="preserve"> and other series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m:t>
            </m:r>
          </m:sub>
        </m:sSub>
      </m:oMath>
      <w:r w:rsidRPr="00EA635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2</m:t>
            </m:r>
          </m:sub>
        </m:sSub>
      </m:oMath>
      <w:r w:rsidRPr="00EA6358">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n</m:t>
            </m:r>
          </m:sub>
        </m:sSub>
      </m:oMath>
      <w:r w:rsidRPr="00EA6358">
        <w:rPr>
          <w:rFonts w:ascii="Times New Roman" w:hAnsi="Times New Roman" w:cs="Times New Roman"/>
        </w:rPr>
        <w:t xml:space="preserve"> will be denoted by </w:t>
      </w:r>
      <m:oMath>
        <m:r>
          <w:rPr>
            <w:rFonts w:ascii="Cambria Math" w:hAnsi="Cambria Math" w:cs="Times New Roman"/>
          </w:rPr>
          <m:t>V</m:t>
        </m:r>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y</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n</m:t>
                </m:r>
              </m:sub>
            </m:sSub>
            <m:r>
              <m:rPr>
                <m:sty m:val="p"/>
              </m:rPr>
              <w:rPr>
                <w:rFonts w:ascii="Cambria Math" w:hAnsi="Cambria Math" w:cs="Times New Roman"/>
              </w:rPr>
              <m:t>)</m:t>
            </m:r>
          </m:sub>
          <m:sup>
            <m:r>
              <m:rPr>
                <m:sty m:val="p"/>
              </m:rPr>
              <w:rPr>
                <w:rFonts w:ascii="Cambria Math" w:hAnsi="Cambria Math" w:cs="Times New Roman"/>
              </w:rPr>
              <m:t>2</m:t>
            </m:r>
          </m:sup>
        </m:sSubSup>
      </m:oMath>
      <w:r w:rsidRPr="00EA6358">
        <w:rPr>
          <w:rFonts w:ascii="Times New Roman" w:hAnsi="Times New Roman" w:cs="Times New Roman"/>
        </w:rPr>
        <w:t xml:space="preserve"> (or </w:t>
      </w:r>
      <m:oMath>
        <m:r>
          <w:rPr>
            <w:rFonts w:ascii="Cambria Math" w:hAnsi="Cambria Math" w:cs="Times New Roman"/>
          </w:rPr>
          <m:t>V</m:t>
        </m:r>
        <m:sSubSup>
          <m:sSubSupPr>
            <m:ctrlPr>
              <w:rPr>
                <w:rFonts w:ascii="Cambria Math" w:hAnsi="Cambria Math" w:cs="Times New Roman"/>
              </w:rPr>
            </m:ctrlPr>
          </m:sSubSupPr>
          <m:e>
            <m:r>
              <w:rPr>
                <w:rFonts w:ascii="Cambria Math" w:hAnsi="Cambria Math" w:cs="Times New Roman"/>
              </w:rPr>
              <m:t>R</m:t>
            </m:r>
          </m:e>
          <m:sub>
            <m:r>
              <w:rPr>
                <w:rFonts w:ascii="Cambria Math" w:hAnsi="Cambria Math" w:cs="Times New Roman"/>
              </w:rPr>
              <m:t>y</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ub>
          <m:sup>
            <m:r>
              <m:rPr>
                <m:sty m:val="p"/>
              </m:rPr>
              <w:rPr>
                <w:rFonts w:ascii="Cambria Math" w:hAnsi="Cambria Math" w:cs="Times New Roman"/>
              </w:rPr>
              <m:t>2</m:t>
            </m:r>
          </m:sup>
        </m:sSubSup>
      </m:oMath>
      <w:r w:rsidRPr="00EA6358">
        <w:rPr>
          <w:rFonts w:ascii="Times New Roman" w:hAnsi="Times New Roman" w:cs="Times New Roman"/>
        </w:rPr>
        <w:t xml:space="preserve"> and is given by the formula</w:t>
      </w:r>
      <w:r>
        <w:rPr>
          <w:rFonts w:ascii="Times New Roman" w:hAnsi="Times New Roman" w:cs="Times New Roman"/>
        </w:rP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1728"/>
      </w:tblGrid>
      <w:tr w:rsidR="00EA6358" w:rsidRPr="00EA6358" w14:paraId="3E13CDB6" w14:textId="77777777" w:rsidTr="00B273E2">
        <w:tc>
          <w:tcPr>
            <w:tcW w:w="4000" w:type="pct"/>
          </w:tcPr>
          <w:p w14:paraId="112E3122" w14:textId="77777777" w:rsidR="00EA6358" w:rsidRPr="00970338" w:rsidRDefault="00F70355" w:rsidP="00EA6358">
            <w:pPr>
              <w:spacing w:before="240" w:line="360" w:lineRule="auto"/>
              <w:jc w:val="both"/>
              <w:rPr>
                <w:rFonts w:ascii="Times New Roman" w:hAnsi="Times New Roman"/>
                <w:sz w:val="24"/>
                <w:szCs w:val="24"/>
              </w:rPr>
            </w:pPr>
            <m:oMathPara>
              <m:oMath>
                <m:m>
                  <m:mPr>
                    <m:plcHide m:val="1"/>
                    <m:mcs>
                      <m:mc>
                        <m:mcPr>
                          <m:count m:val="1"/>
                          <m:mcJc m:val="right"/>
                        </m:mcPr>
                      </m:mc>
                    </m:mcs>
                    <m:ctrlPr>
                      <w:rPr>
                        <w:rFonts w:ascii="Cambria Math" w:hAnsi="Cambria Math"/>
                        <w:sz w:val="24"/>
                        <w:szCs w:val="24"/>
                      </w:rPr>
                    </m:ctrlPr>
                  </m:mPr>
                  <m:mr>
                    <m:e>
                      <m:r>
                        <w:rPr>
                          <w:rFonts w:ascii="Cambria Math" w:hAnsi="Cambria Math"/>
                          <w:sz w:val="24"/>
                          <w:szCs w:val="24"/>
                        </w:rPr>
                        <m:t>V</m:t>
                      </m:r>
                      <m:sSubSup>
                        <m:sSubSupPr>
                          <m:ctrlPr>
                            <w:rPr>
                              <w:rFonts w:ascii="Cambria Math" w:hAnsi="Cambria Math"/>
                              <w:sz w:val="24"/>
                              <w:szCs w:val="24"/>
                            </w:rPr>
                          </m:ctrlPr>
                        </m:sSubSupPr>
                        <m:e>
                          <m:r>
                            <w:rPr>
                              <w:rFonts w:ascii="Cambria Math" w:hAnsi="Cambria Math"/>
                              <w:sz w:val="24"/>
                              <w:szCs w:val="24"/>
                            </w:rPr>
                            <m:t>R</m:t>
                          </m:r>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q</m:t>
                          </m:r>
                          <m:r>
                            <m:rPr>
                              <m:sty m:val="p"/>
                            </m:rPr>
                            <w:rPr>
                              <w:rFonts w:ascii="Cambria Math" w:hAnsi="Cambria Math"/>
                              <w:sz w:val="24"/>
                              <w:szCs w:val="24"/>
                            </w:rPr>
                            <m:t>)</m:t>
                          </m:r>
                        </m:sub>
                        <m:sup>
                          <m:r>
                            <m:rPr>
                              <m:sty m:val="p"/>
                            </m:rPr>
                            <w:rPr>
                              <w:rFonts w:ascii="Cambria Math" w:hAnsi="Cambria Math"/>
                              <w:sz w:val="24"/>
                              <w:szCs w:val="24"/>
                            </w:rPr>
                            <m:t>2</m:t>
                          </m:r>
                        </m:sup>
                      </m:sSubSup>
                      <m:r>
                        <m:rPr>
                          <m:sty m:val="p"/>
                        </m:rPr>
                        <w:rPr>
                          <w:rFonts w:ascii="Cambria Math" w:hAnsi="Cambria Math"/>
                          <w:sz w:val="24"/>
                          <w:szCs w:val="24"/>
                        </w:rPr>
                        <m:t>=</m:t>
                      </m:r>
                      <m:r>
                        <w:rPr>
                          <w:rFonts w:ascii="Cambria Math" w:hAnsi="Cambria Math"/>
                          <w:sz w:val="24"/>
                          <w:szCs w:val="24"/>
                        </w:rPr>
                        <m:t>V</m:t>
                      </m:r>
                      <m:sSubSup>
                        <m:sSubSupPr>
                          <m:ctrlPr>
                            <w:rPr>
                              <w:rFonts w:ascii="Cambria Math" w:hAnsi="Cambria Math"/>
                              <w:sz w:val="24"/>
                              <w:szCs w:val="24"/>
                            </w:rPr>
                          </m:ctrlPr>
                        </m:sSubSupPr>
                        <m:e>
                          <m:r>
                            <w:rPr>
                              <w:rFonts w:ascii="Cambria Math" w:hAnsi="Cambria Math"/>
                              <w:sz w:val="24"/>
                              <w:szCs w:val="24"/>
                            </w:rPr>
                            <m:t>R</m:t>
                          </m:r>
                        </m:e>
                        <m:sub>
                          <m:r>
                            <m:rPr>
                              <m:sty m:val="p"/>
                            </m:rPr>
                            <w:rPr>
                              <w:rFonts w:ascii="Cambria Math" w:hAnsi="Cambria Math"/>
                              <w:sz w:val="24"/>
                              <w:szCs w:val="24"/>
                            </w:rPr>
                            <m:t>1(23...</m:t>
                          </m:r>
                          <m:r>
                            <w:rPr>
                              <w:rFonts w:ascii="Cambria Math" w:hAnsi="Cambria Math"/>
                              <w:sz w:val="24"/>
                              <w:szCs w:val="24"/>
                            </w:rPr>
                            <m:t>n</m:t>
                          </m:r>
                          <m:r>
                            <m:rPr>
                              <m:sty m:val="p"/>
                            </m:rPr>
                            <w:rPr>
                              <w:rFonts w:ascii="Cambria Math" w:hAnsi="Cambria Math"/>
                              <w:sz w:val="24"/>
                              <w:szCs w:val="24"/>
                            </w:rPr>
                            <m:t>)</m:t>
                          </m:r>
                        </m:sub>
                        <m:sup>
                          <m:r>
                            <m:rPr>
                              <m:sty m:val="p"/>
                            </m:rPr>
                            <w:rPr>
                              <w:rFonts w:ascii="Cambria Math" w:hAnsi="Cambria Math"/>
                              <w:sz w:val="24"/>
                              <w:szCs w:val="24"/>
                            </w:rPr>
                            <m:t>2</m:t>
                          </m:r>
                        </m:sup>
                      </m:sSubSup>
                      <m:r>
                        <m:rPr>
                          <m:sty m:val="p"/>
                        </m:rPr>
                        <w:rPr>
                          <w:rFonts w:ascii="Cambria Math" w:hAnsi="Cambria Math"/>
                          <w:sz w:val="24"/>
                          <w:szCs w:val="24"/>
                        </w:rPr>
                        <m:t>=1-</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M</m:t>
                              </m:r>
                            </m:e>
                            <m:sup>
                              <m:r>
                                <w:rPr>
                                  <w:rFonts w:ascii="Cambria Math" w:hAnsi="Cambria Math"/>
                                  <w:sz w:val="24"/>
                                  <w:szCs w:val="24"/>
                                </w:rPr>
                                <m:t>d</m:t>
                              </m:r>
                            </m:sup>
                          </m:sSup>
                        </m:num>
                        <m:den>
                          <m:sSub>
                            <m:sSubPr>
                              <m:ctrlPr>
                                <w:rPr>
                                  <w:rFonts w:ascii="Cambria Math" w:hAnsi="Cambria Math"/>
                                  <w:sz w:val="24"/>
                                  <w:szCs w:val="24"/>
                                </w:rPr>
                              </m:ctrlPr>
                            </m:sSubPr>
                            <m:e>
                              <m:r>
                                <w:rPr>
                                  <w:rFonts w:ascii="Cambria Math" w:hAnsi="Cambria Math"/>
                                  <w:sz w:val="24"/>
                                  <w:szCs w:val="24"/>
                                </w:rPr>
                                <m:t>S</m:t>
                              </m:r>
                            </m:e>
                            <m:sub>
                              <m:r>
                                <m:rPr>
                                  <m:sty m:val="p"/>
                                </m:rPr>
                                <w:rPr>
                                  <w:rFonts w:ascii="Cambria Math" w:hAnsi="Cambria Math"/>
                                  <w:sz w:val="24"/>
                                  <w:szCs w:val="24"/>
                                </w:rPr>
                                <m:t>11</m:t>
                              </m:r>
                            </m:sub>
                          </m:sSub>
                          <m:sSubSup>
                            <m:sSubSupPr>
                              <m:ctrlPr>
                                <w:rPr>
                                  <w:rFonts w:ascii="Cambria Math" w:hAnsi="Cambria Math"/>
                                  <w:sz w:val="24"/>
                                  <w:szCs w:val="24"/>
                                </w:rPr>
                              </m:ctrlPr>
                            </m:sSubSupPr>
                            <m:e>
                              <m:r>
                                <w:rPr>
                                  <w:rFonts w:ascii="Cambria Math" w:hAnsi="Cambria Math"/>
                                  <w:sz w:val="24"/>
                                  <w:szCs w:val="24"/>
                                </w:rPr>
                                <m:t>M</m:t>
                              </m:r>
                            </m:e>
                            <m:sub>
                              <m:r>
                                <m:rPr>
                                  <m:sty m:val="p"/>
                                </m:rPr>
                                <w:rPr>
                                  <w:rFonts w:ascii="Cambria Math" w:hAnsi="Cambria Math"/>
                                  <w:sz w:val="24"/>
                                  <w:szCs w:val="24"/>
                                </w:rPr>
                                <m:t>11</m:t>
                              </m:r>
                            </m:sub>
                            <m:sup>
                              <m:r>
                                <w:rPr>
                                  <w:rFonts w:ascii="Cambria Math" w:hAnsi="Cambria Math"/>
                                  <w:sz w:val="24"/>
                                  <w:szCs w:val="24"/>
                                </w:rPr>
                                <m:t>d</m:t>
                              </m:r>
                            </m:sup>
                          </m:sSubSup>
                        </m:den>
                      </m:f>
                      <m:r>
                        <m:rPr>
                          <m:sty m:val="p"/>
                        </m:rPr>
                        <w:rPr>
                          <w:rFonts w:ascii="Cambria Math" w:hAnsi="Cambria Math"/>
                          <w:sz w:val="24"/>
                          <w:szCs w:val="24"/>
                        </w:rPr>
                        <m:t>,</m:t>
                      </m:r>
                    </m:e>
                  </m:mr>
                </m:m>
              </m:oMath>
            </m:oMathPara>
          </w:p>
        </w:tc>
        <w:tc>
          <w:tcPr>
            <w:tcW w:w="1000" w:type="pct"/>
            <w:vAlign w:val="center"/>
          </w:tcPr>
          <w:p w14:paraId="341FABEF" w14:textId="4CF560ED" w:rsidR="00EA6358" w:rsidRPr="00EA6358" w:rsidRDefault="00EA6358" w:rsidP="00EA6358">
            <w:pPr>
              <w:spacing w:before="240" w:line="360" w:lineRule="auto"/>
              <w:jc w:val="both"/>
              <w:rPr>
                <w:rFonts w:ascii="Times New Roman" w:eastAsiaTheme="minorEastAsia" w:hAnsi="Times New Roman"/>
                <w:sz w:val="24"/>
                <w:szCs w:val="24"/>
                <w:lang w:val="en-US" w:eastAsia="en-US"/>
              </w:rPr>
            </w:pPr>
            <w:r w:rsidRPr="00EA6358">
              <w:rPr>
                <w:rFonts w:ascii="Times New Roman" w:eastAsiaTheme="minorEastAsia" w:hAnsi="Times New Roman"/>
                <w:sz w:val="24"/>
                <w:szCs w:val="24"/>
                <w:lang w:val="en-US" w:eastAsia="en-US"/>
              </w:rPr>
              <w:t>(</w:t>
            </w:r>
            <w:r w:rsidRPr="00EA6358">
              <w:rPr>
                <w:rFonts w:ascii="Times New Roman" w:hAnsi="Times New Roman"/>
              </w:rPr>
              <w:fldChar w:fldCharType="begin"/>
            </w:r>
            <w:r w:rsidRPr="00EA6358">
              <w:rPr>
                <w:rFonts w:ascii="Times New Roman" w:eastAsiaTheme="minorEastAsia" w:hAnsi="Times New Roman"/>
                <w:sz w:val="24"/>
                <w:szCs w:val="24"/>
                <w:lang w:val="en-US" w:eastAsia="en-US"/>
              </w:rPr>
              <w:instrText xml:space="preserve"> SEQ Equation \* ARABIC \s 1 </w:instrText>
            </w:r>
            <w:r w:rsidRPr="00EA6358">
              <w:rPr>
                <w:rFonts w:ascii="Times New Roman" w:hAnsi="Times New Roman"/>
              </w:rPr>
              <w:fldChar w:fldCharType="separate"/>
            </w:r>
            <w:r>
              <w:rPr>
                <w:rFonts w:ascii="Times New Roman" w:eastAsiaTheme="minorEastAsia" w:hAnsi="Times New Roman"/>
                <w:noProof/>
                <w:sz w:val="24"/>
                <w:szCs w:val="24"/>
                <w:lang w:val="en-US" w:eastAsia="en-US"/>
              </w:rPr>
              <w:t>1</w:t>
            </w:r>
            <w:r w:rsidRPr="00EA6358">
              <w:rPr>
                <w:rFonts w:ascii="Times New Roman" w:hAnsi="Times New Roman"/>
              </w:rPr>
              <w:fldChar w:fldCharType="end"/>
            </w:r>
            <w:r w:rsidRPr="00EA6358">
              <w:rPr>
                <w:rFonts w:ascii="Times New Roman" w:eastAsiaTheme="minorEastAsia" w:hAnsi="Times New Roman"/>
                <w:sz w:val="24"/>
                <w:szCs w:val="24"/>
                <w:lang w:val="en-US" w:eastAsia="en-US"/>
              </w:rPr>
              <w:t>)</w:t>
            </w:r>
          </w:p>
        </w:tc>
      </w:tr>
    </w:tbl>
    <w:p w14:paraId="678DDC56" w14:textId="1C719752" w:rsidR="00EA6358" w:rsidRPr="00EA6358" w:rsidRDefault="00EA6358" w:rsidP="00EA6358">
      <w:pPr>
        <w:spacing w:before="240" w:line="360" w:lineRule="auto"/>
        <w:jc w:val="both"/>
        <w:rPr>
          <w:rFonts w:ascii="Times New Roman" w:hAnsi="Times New Roman" w:cs="Times New Roman"/>
        </w:rPr>
      </w:pPr>
      <w:r w:rsidRPr="00EA6358">
        <w:rPr>
          <w:rFonts w:ascii="Times New Roman" w:hAnsi="Times New Roman" w:cs="Times New Roman"/>
        </w:rPr>
        <w:t xml:space="preserve">where </w:t>
      </w:r>
      <m:oMath>
        <m:r>
          <w:rPr>
            <w:rFonts w:ascii="Cambria Math" w:hAnsi="Cambria Math" w:cs="Times New Roman"/>
          </w:rPr>
          <m:t>M</m:t>
        </m:r>
      </m:oMath>
      <w:r w:rsidRPr="00EA6358">
        <w:rPr>
          <w:rFonts w:ascii="Times New Roman" w:hAnsi="Times New Roman" w:cs="Times New Roman"/>
        </w:rPr>
        <w:t xml:space="preserve"> denote</w:t>
      </w:r>
      <w:r w:rsidR="00E40B16">
        <w:rPr>
          <w:rFonts w:ascii="Times New Roman" w:hAnsi="Times New Roman" w:cs="Times New Roman"/>
        </w:rPr>
        <w:t>s</w:t>
      </w:r>
      <w:r w:rsidRPr="00EA6358">
        <w:rPr>
          <w:rFonts w:ascii="Times New Roman" w:hAnsi="Times New Roman" w:cs="Times New Roman"/>
        </w:rPr>
        <w:t xml:space="preserve"> the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n</m:t>
        </m:r>
      </m:oMath>
      <w:r w:rsidRPr="00EA6358">
        <w:rPr>
          <w:rFonts w:ascii="Times New Roman" w:hAnsi="Times New Roman" w:cs="Times New Roman"/>
        </w:rPr>
        <w:t xml:space="preserve"> matrix of the all the smoothed cross-wavelet spectra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ij</m:t>
            </m:r>
          </m:sub>
        </m:sSub>
      </m:oMath>
      <w:r w:rsidRPr="00EA6358">
        <w:rPr>
          <w:rFonts w:ascii="Times New Roman" w:hAnsi="Times New Roman" w:cs="Times New Roman"/>
        </w:rPr>
        <w:t xml:space="preserve"> which is the smoothed version of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ij</m:t>
            </m:r>
          </m:sub>
        </m:sSub>
      </m:oMath>
      <w:r w:rsidR="00361F44">
        <w:rPr>
          <w:rFonts w:ascii="Times New Roman" w:hAnsi="Times New Roman" w:cs="Times New Roman"/>
        </w:rPr>
        <w:t>. Moreover,</w:t>
      </w:r>
      <w:r w:rsidR="00E40B16">
        <w:rPr>
          <w:rFonts w:ascii="Times New Roman" w:hAnsi="Times New Roman" w:cs="Times New Roman"/>
        </w:rPr>
        <w:t xml:space="preserve"> </w:t>
      </w:r>
      <w:r w:rsidRPr="00EA6358">
        <w:rPr>
          <w:rFonts w:ascii="Times New Roman" w:hAnsi="Times New Roman" w:cs="Times New Roman"/>
        </w:rPr>
        <w:t xml:space="preserve">where </w:t>
      </w:r>
      <m:oMath>
        <m:r>
          <w:rPr>
            <w:rFonts w:ascii="Cambria Math" w:hAnsi="Cambria Math" w:cs="Times New Roman"/>
          </w:rPr>
          <m:t>S</m:t>
        </m:r>
      </m:oMath>
      <w:r w:rsidRPr="00EA6358">
        <w:rPr>
          <w:rFonts w:ascii="Times New Roman" w:hAnsi="Times New Roman" w:cs="Times New Roman"/>
        </w:rPr>
        <w:t xml:space="preserve"> is a certain smoothing operator.</w:t>
      </w:r>
    </w:p>
    <w:p w14:paraId="76CFA25E" w14:textId="77777777" w:rsidR="00EA6358" w:rsidRPr="00EA6358" w:rsidRDefault="00EA6358" w:rsidP="00EA6358">
      <w:pPr>
        <w:spacing w:before="240" w:line="360" w:lineRule="auto"/>
        <w:jc w:val="both"/>
        <w:rPr>
          <w:rFonts w:ascii="Times New Roman" w:hAnsi="Times New Roman" w:cs="Times New Roman"/>
        </w:rPr>
      </w:pPr>
      <w:r w:rsidRPr="00EA6358">
        <w:rPr>
          <w:rFonts w:ascii="Times New Roman" w:hAnsi="Times New Roman" w:cs="Times New Roman"/>
        </w:rPr>
        <w:t xml:space="preserve">Corresponding to the matrix </w:t>
      </w:r>
      <m:oMath>
        <m:r>
          <w:rPr>
            <w:rFonts w:ascii="Cambria Math" w:hAnsi="Cambria Math" w:cs="Times New Roman"/>
          </w:rPr>
          <m:t>M</m:t>
        </m:r>
      </m:oMath>
      <w:r w:rsidRPr="00EA6358">
        <w:rPr>
          <w:rFonts w:ascii="Times New Roman" w:hAnsi="Times New Roman" w:cs="Times New Roman"/>
        </w:rPr>
        <w:t xml:space="preserve">, we now consider the matrix </w:t>
      </w:r>
      <m:oMath>
        <m:r>
          <w:rPr>
            <w:rFonts w:ascii="Cambria Math" w:hAnsi="Cambria Math" w:cs="Times New Roman"/>
          </w:rPr>
          <m:t>C</m:t>
        </m:r>
      </m:oMath>
      <w:r w:rsidRPr="00EA6358">
        <w:rPr>
          <w:rFonts w:ascii="Times New Roman" w:hAnsi="Times New Roman" w:cs="Times New Roman"/>
        </w:rPr>
        <w:t xml:space="preserve"> of all the smoothed complex wavelet coherencies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ij</m:t>
            </m:r>
          </m:sub>
        </m:sSub>
      </m:oMath>
      <w:r w:rsidRPr="00EA6358">
        <w:rPr>
          <w:rFonts w:ascii="Times New Roman" w:hAnsi="Times New Roman" w:cs="Times New Roman"/>
        </w:rPr>
        <w:t>, i.e.</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1728"/>
      </w:tblGrid>
      <w:tr w:rsidR="00EA6358" w:rsidRPr="00EA6358" w14:paraId="096BA4F6" w14:textId="77777777" w:rsidTr="00B273E2">
        <w:tc>
          <w:tcPr>
            <w:tcW w:w="4000" w:type="pct"/>
          </w:tcPr>
          <w:p w14:paraId="1694FA2B" w14:textId="77777777" w:rsidR="00EA6358" w:rsidRPr="00970338" w:rsidRDefault="00F70355" w:rsidP="00EA6358">
            <w:pPr>
              <w:spacing w:before="240" w:line="360" w:lineRule="auto"/>
              <w:jc w:val="both"/>
              <w:rPr>
                <w:rFonts w:ascii="Times New Roman" w:hAnsi="Times New Roman"/>
                <w:sz w:val="24"/>
                <w:szCs w:val="24"/>
              </w:rPr>
            </w:pPr>
            <m:oMathPara>
              <m:oMath>
                <m:m>
                  <m:mPr>
                    <m:plcHide m:val="1"/>
                    <m:mcs>
                      <m:mc>
                        <m:mcPr>
                          <m:count m:val="1"/>
                          <m:mcJc m:val="right"/>
                        </m:mcPr>
                      </m:mc>
                    </m:mcs>
                    <m:ctrlPr>
                      <w:rPr>
                        <w:rFonts w:ascii="Cambria Math" w:hAnsi="Cambria Math"/>
                        <w:sz w:val="24"/>
                        <w:szCs w:val="24"/>
                      </w:rPr>
                    </m:ctrlPr>
                  </m:mPr>
                  <m:mr>
                    <m:e>
                      <m:r>
                        <w:rPr>
                          <w:rFonts w:ascii="Cambria Math" w:hAnsi="Cambria Math"/>
                          <w:sz w:val="24"/>
                          <w:szCs w:val="24"/>
                        </w:rPr>
                        <m:t>C</m:t>
                      </m:r>
                      <m:r>
                        <m:rPr>
                          <m:sty m:val="p"/>
                        </m:rPr>
                        <w:rPr>
                          <w:rFonts w:ascii="Cambria Math" w:hAnsi="Cambria Math"/>
                          <w:sz w:val="24"/>
                          <w:szCs w:val="24"/>
                        </w:rPr>
                        <m:t>=</m:t>
                      </m:r>
                      <m:d>
                        <m:dPr>
                          <m:begChr m:val="["/>
                          <m:endChr m:val="]"/>
                          <m:ctrlPr>
                            <w:rPr>
                              <w:rFonts w:ascii="Cambria Math" w:hAnsi="Cambria Math"/>
                              <w:sz w:val="24"/>
                              <w:szCs w:val="24"/>
                            </w:rPr>
                          </m:ctrlPr>
                        </m:dPr>
                        <m:e>
                          <m:m>
                            <m:mPr>
                              <m:plcHide m:val="1"/>
                              <m:mcs>
                                <m:mc>
                                  <m:mcPr>
                                    <m:count m:val="5"/>
                                    <m:mcJc m:val="center"/>
                                  </m:mcPr>
                                </m:mc>
                              </m:mcs>
                              <m:ctrlPr>
                                <w:rPr>
                                  <w:rFonts w:ascii="Cambria Math" w:hAnsi="Cambria Math"/>
                                  <w:sz w:val="24"/>
                                  <w:szCs w:val="24"/>
                                </w:rPr>
                              </m:ctrlPr>
                            </m:mPr>
                            <m:mr>
                              <m:e>
                                <m:r>
                                  <m:rPr>
                                    <m:sty m:val="p"/>
                                  </m:rPr>
                                  <w:rPr>
                                    <w:rFonts w:ascii="Cambria Math" w:hAnsi="Cambria Math"/>
                                    <w:sz w:val="24"/>
                                    <w:szCs w:val="24"/>
                                  </w:rPr>
                                  <m:t>1</m:t>
                                </m:r>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12</m:t>
                                    </m:r>
                                  </m:sub>
                                </m:sSub>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13</m:t>
                                    </m:r>
                                  </m:sub>
                                </m:sSub>
                              </m:e>
                              <m:e>
                                <m:r>
                                  <m:rPr>
                                    <m:sty m:val="p"/>
                                  </m:rPr>
                                  <w:rPr>
                                    <w:rFonts w:ascii="Cambria Math" w:hAnsi="Cambria Math"/>
                                    <w:sz w:val="24"/>
                                    <w:szCs w:val="24"/>
                                  </w:rPr>
                                  <m:t>...</m:t>
                                </m:r>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1</m:t>
                                    </m:r>
                                    <m:r>
                                      <w:rPr>
                                        <w:rFonts w:ascii="Cambria Math" w:hAnsi="Cambria Math"/>
                                        <w:sz w:val="24"/>
                                        <w:szCs w:val="24"/>
                                      </w:rPr>
                                      <m:t>n</m:t>
                                    </m:r>
                                  </m:sub>
                                </m:sSub>
                              </m:e>
                            </m:mr>
                            <m:mr>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21</m:t>
                                    </m:r>
                                  </m:sub>
                                </m:sSub>
                              </m:e>
                              <m:e>
                                <m:r>
                                  <m:rPr>
                                    <m:sty m:val="p"/>
                                  </m:rPr>
                                  <w:rPr>
                                    <w:rFonts w:ascii="Cambria Math" w:hAnsi="Cambria Math"/>
                                    <w:sz w:val="24"/>
                                    <w:szCs w:val="24"/>
                                  </w:rPr>
                                  <m:t>1</m:t>
                                </m:r>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23</m:t>
                                    </m:r>
                                  </m:sub>
                                </m:sSub>
                              </m:e>
                              <m:e>
                                <m:r>
                                  <m:rPr>
                                    <m:sty m:val="p"/>
                                  </m:rPr>
                                  <w:rPr>
                                    <w:rFonts w:ascii="Cambria Math" w:hAnsi="Cambria Math"/>
                                    <w:sz w:val="24"/>
                                    <w:szCs w:val="24"/>
                                  </w:rPr>
                                  <m:t>...</m:t>
                                </m:r>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2</m:t>
                                    </m:r>
                                    <m:r>
                                      <w:rPr>
                                        <w:rFonts w:ascii="Cambria Math" w:hAnsi="Cambria Math"/>
                                        <w:sz w:val="24"/>
                                        <w:szCs w:val="24"/>
                                      </w:rPr>
                                      <m:t>n</m:t>
                                    </m:r>
                                  </m:sub>
                                </m:sSub>
                              </m:e>
                            </m:mr>
                            <m:mr>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31</m:t>
                                    </m:r>
                                  </m:sub>
                                </m:sSub>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32</m:t>
                                    </m:r>
                                  </m:sub>
                                </m:sSub>
                              </m:e>
                              <m:e>
                                <m:r>
                                  <m:rPr>
                                    <m:sty m:val="p"/>
                                  </m:rPr>
                                  <w:rPr>
                                    <w:rFonts w:ascii="Cambria Math" w:hAnsi="Cambria Math"/>
                                    <w:sz w:val="24"/>
                                    <w:szCs w:val="24"/>
                                  </w:rPr>
                                  <m:t>1</m:t>
                                </m:r>
                              </m:e>
                              <m:e>
                                <m:r>
                                  <m:rPr>
                                    <m:sty m:val="p"/>
                                  </m:rPr>
                                  <w:rPr>
                                    <w:rFonts w:ascii="Cambria Math" w:hAnsi="Cambria Math"/>
                                    <w:sz w:val="24"/>
                                    <w:szCs w:val="24"/>
                                  </w:rPr>
                                  <m:t>...</m:t>
                                </m:r>
                              </m:e>
                              <m:e>
                                <m:sSub>
                                  <m:sSubPr>
                                    <m:ctrlPr>
                                      <w:rPr>
                                        <w:rFonts w:ascii="Cambria Math" w:hAnsi="Cambria Math"/>
                                        <w:sz w:val="24"/>
                                        <w:szCs w:val="24"/>
                                      </w:rPr>
                                    </m:ctrlPr>
                                  </m:sSubPr>
                                  <m:e>
                                    <m:r>
                                      <w:rPr>
                                        <w:rFonts w:ascii="Cambria Math" w:hAnsi="Cambria Math"/>
                                        <w:sz w:val="24"/>
                                        <w:szCs w:val="24"/>
                                      </w:rPr>
                                      <m:t>ρ</m:t>
                                    </m:r>
                                  </m:e>
                                  <m:sub>
                                    <m:r>
                                      <m:rPr>
                                        <m:sty m:val="p"/>
                                      </m:rPr>
                                      <w:rPr>
                                        <w:rFonts w:ascii="Cambria Math" w:hAnsi="Cambria Math"/>
                                        <w:sz w:val="24"/>
                                        <w:szCs w:val="24"/>
                                      </w:rPr>
                                      <m:t>3</m:t>
                                    </m:r>
                                    <m:r>
                                      <w:rPr>
                                        <w:rFonts w:ascii="Cambria Math" w:hAnsi="Cambria Math"/>
                                        <w:sz w:val="24"/>
                                        <w:szCs w:val="24"/>
                                      </w:rPr>
                                      <m:t>n</m:t>
                                    </m:r>
                                  </m:sub>
                                </m:sSub>
                              </m:e>
                            </m:mr>
                            <m:mr>
                              <m:e>
                                <m:r>
                                  <m:rPr>
                                    <m:sty m:val="p"/>
                                  </m:rPr>
                                  <w:rPr>
                                    <w:rFonts w:ascii="Cambria Math" w:hAnsi="Cambria Math"/>
                                    <w:sz w:val="24"/>
                                    <w:szCs w:val="24"/>
                                  </w:rPr>
                                  <m:t>...</m:t>
                                </m:r>
                              </m:e>
                              <m:e>
                                <m:r>
                                  <m:rPr>
                                    <m:sty m:val="p"/>
                                  </m:rPr>
                                  <w:rPr>
                                    <w:rFonts w:ascii="Cambria Math" w:hAnsi="Cambria Math"/>
                                    <w:sz w:val="24"/>
                                    <w:szCs w:val="24"/>
                                  </w:rPr>
                                  <m:t>...</m:t>
                                </m:r>
                              </m:e>
                              <m:e>
                                <m:r>
                                  <m:rPr>
                                    <m:sty m:val="p"/>
                                  </m:rPr>
                                  <w:rPr>
                                    <w:rFonts w:ascii="Cambria Math" w:hAnsi="Cambria Math"/>
                                    <w:sz w:val="24"/>
                                    <w:szCs w:val="24"/>
                                  </w:rPr>
                                  <m:t>...</m:t>
                                </m:r>
                              </m:e>
                              <m:e>
                                <m:r>
                                  <m:rPr>
                                    <m:sty m:val="p"/>
                                  </m:rPr>
                                  <w:rPr>
                                    <w:rFonts w:ascii="Cambria Math" w:hAnsi="Cambria Math"/>
                                    <w:sz w:val="24"/>
                                    <w:szCs w:val="24"/>
                                  </w:rPr>
                                  <m:t>...</m:t>
                                </m:r>
                              </m:e>
                              <m:e>
                                <m:r>
                                  <m:rPr>
                                    <m:sty m:val="p"/>
                                  </m:rPr>
                                  <w:rPr>
                                    <w:rFonts w:ascii="Cambria Math" w:hAnsi="Cambria Math"/>
                                    <w:sz w:val="24"/>
                                    <w:szCs w:val="24"/>
                                  </w:rPr>
                                  <m:t>...</m:t>
                                </m:r>
                              </m:e>
                            </m:mr>
                            <m:mr>
                              <m:e>
                                <m:sSub>
                                  <m:sSubPr>
                                    <m:ctrlPr>
                                      <w:rPr>
                                        <w:rFonts w:ascii="Cambria Math" w:hAnsi="Cambria Math"/>
                                        <w:sz w:val="24"/>
                                        <w:szCs w:val="24"/>
                                      </w:rPr>
                                    </m:ctrlPr>
                                  </m:sSubPr>
                                  <m:e>
                                    <m:r>
                                      <w:rPr>
                                        <w:rFonts w:ascii="Cambria Math" w:hAnsi="Cambria Math"/>
                                        <w:sz w:val="24"/>
                                        <w:szCs w:val="24"/>
                                      </w:rPr>
                                      <m:t>ρ</m:t>
                                    </m:r>
                                  </m:e>
                                  <m:sub>
                                    <m:r>
                                      <w:rPr>
                                        <w:rFonts w:ascii="Cambria Math" w:hAnsi="Cambria Math"/>
                                        <w:sz w:val="24"/>
                                        <w:szCs w:val="24"/>
                                      </w:rPr>
                                      <m:t>n</m:t>
                                    </m:r>
                                    <m:r>
                                      <m:rPr>
                                        <m:sty m:val="p"/>
                                      </m:rPr>
                                      <w:rPr>
                                        <w:rFonts w:ascii="Cambria Math" w:hAnsi="Cambria Math"/>
                                        <w:sz w:val="24"/>
                                        <w:szCs w:val="24"/>
                                      </w:rPr>
                                      <m:t>1</m:t>
                                    </m:r>
                                  </m:sub>
                                </m:sSub>
                              </m:e>
                              <m:e>
                                <m:sSub>
                                  <m:sSubPr>
                                    <m:ctrlPr>
                                      <w:rPr>
                                        <w:rFonts w:ascii="Cambria Math" w:hAnsi="Cambria Math"/>
                                        <w:sz w:val="24"/>
                                        <w:szCs w:val="24"/>
                                      </w:rPr>
                                    </m:ctrlPr>
                                  </m:sSubPr>
                                  <m:e>
                                    <m:r>
                                      <w:rPr>
                                        <w:rFonts w:ascii="Cambria Math" w:hAnsi="Cambria Math"/>
                                        <w:sz w:val="24"/>
                                        <w:szCs w:val="24"/>
                                      </w:rPr>
                                      <m:t>ρ</m:t>
                                    </m:r>
                                  </m:e>
                                  <m:sub>
                                    <m:r>
                                      <w:rPr>
                                        <w:rFonts w:ascii="Cambria Math" w:hAnsi="Cambria Math"/>
                                        <w:sz w:val="24"/>
                                        <w:szCs w:val="24"/>
                                      </w:rPr>
                                      <m:t>n</m:t>
                                    </m:r>
                                    <m:r>
                                      <m:rPr>
                                        <m:sty m:val="p"/>
                                      </m:rPr>
                                      <w:rPr>
                                        <w:rFonts w:ascii="Cambria Math" w:hAnsi="Cambria Math"/>
                                        <w:sz w:val="24"/>
                                        <w:szCs w:val="24"/>
                                      </w:rPr>
                                      <m:t>2</m:t>
                                    </m:r>
                                  </m:sub>
                                </m:sSub>
                              </m:e>
                              <m:e>
                                <m:sSub>
                                  <m:sSubPr>
                                    <m:ctrlPr>
                                      <w:rPr>
                                        <w:rFonts w:ascii="Cambria Math" w:hAnsi="Cambria Math"/>
                                        <w:sz w:val="24"/>
                                        <w:szCs w:val="24"/>
                                      </w:rPr>
                                    </m:ctrlPr>
                                  </m:sSubPr>
                                  <m:e>
                                    <m:r>
                                      <w:rPr>
                                        <w:rFonts w:ascii="Cambria Math" w:hAnsi="Cambria Math"/>
                                        <w:sz w:val="24"/>
                                        <w:szCs w:val="24"/>
                                      </w:rPr>
                                      <m:t>ρ</m:t>
                                    </m:r>
                                  </m:e>
                                  <m:sub>
                                    <m:r>
                                      <w:rPr>
                                        <w:rFonts w:ascii="Cambria Math" w:hAnsi="Cambria Math"/>
                                        <w:sz w:val="24"/>
                                        <w:szCs w:val="24"/>
                                      </w:rPr>
                                      <m:t>n</m:t>
                                    </m:r>
                                    <m:r>
                                      <m:rPr>
                                        <m:sty m:val="p"/>
                                      </m:rPr>
                                      <w:rPr>
                                        <w:rFonts w:ascii="Cambria Math" w:hAnsi="Cambria Math"/>
                                        <w:sz w:val="24"/>
                                        <w:szCs w:val="24"/>
                                      </w:rPr>
                                      <m:t>3</m:t>
                                    </m:r>
                                  </m:sub>
                                </m:sSub>
                              </m:e>
                              <m:e>
                                <m:r>
                                  <m:rPr>
                                    <m:sty m:val="p"/>
                                  </m:rPr>
                                  <w:rPr>
                                    <w:rFonts w:ascii="Cambria Math" w:hAnsi="Cambria Math"/>
                                    <w:sz w:val="24"/>
                                    <w:szCs w:val="24"/>
                                  </w:rPr>
                                  <m:t>...</m:t>
                                </m:r>
                              </m:e>
                              <m:e>
                                <m:r>
                                  <m:rPr>
                                    <m:sty m:val="p"/>
                                  </m:rPr>
                                  <w:rPr>
                                    <w:rFonts w:ascii="Cambria Math" w:hAnsi="Cambria Math"/>
                                    <w:sz w:val="24"/>
                                    <w:szCs w:val="24"/>
                                  </w:rPr>
                                  <m:t>1</m:t>
                                </m:r>
                              </m:e>
                            </m:mr>
                          </m:m>
                        </m:e>
                      </m:d>
                      <m:r>
                        <m:rPr>
                          <m:sty m:val="p"/>
                        </m:rPr>
                        <w:rPr>
                          <w:rFonts w:ascii="Cambria Math" w:hAnsi="Cambria Math"/>
                          <w:sz w:val="24"/>
                          <w:szCs w:val="24"/>
                        </w:rPr>
                        <m:t>,</m:t>
                      </m:r>
                    </m:e>
                  </m:mr>
                </m:m>
              </m:oMath>
            </m:oMathPara>
          </w:p>
        </w:tc>
        <w:tc>
          <w:tcPr>
            <w:tcW w:w="1000" w:type="pct"/>
            <w:vAlign w:val="center"/>
          </w:tcPr>
          <w:p w14:paraId="6C4E0D93" w14:textId="2B8E6C9F" w:rsidR="00EA6358" w:rsidRPr="00EA6358" w:rsidRDefault="00EA6358" w:rsidP="00EA6358">
            <w:pPr>
              <w:spacing w:before="240" w:line="360" w:lineRule="auto"/>
              <w:jc w:val="both"/>
              <w:rPr>
                <w:rFonts w:ascii="Times New Roman" w:eastAsiaTheme="minorEastAsia" w:hAnsi="Times New Roman"/>
                <w:sz w:val="24"/>
                <w:szCs w:val="24"/>
                <w:lang w:val="en-US" w:eastAsia="en-US"/>
              </w:rPr>
            </w:pPr>
            <w:r w:rsidRPr="00EA6358">
              <w:rPr>
                <w:rFonts w:ascii="Times New Roman" w:eastAsiaTheme="minorEastAsia" w:hAnsi="Times New Roman"/>
                <w:sz w:val="24"/>
                <w:szCs w:val="24"/>
                <w:lang w:val="en-US" w:eastAsia="en-US"/>
              </w:rPr>
              <w:t>(</w:t>
            </w:r>
            <w:r w:rsidRPr="00EA6358">
              <w:rPr>
                <w:rFonts w:ascii="Times New Roman" w:hAnsi="Times New Roman"/>
              </w:rPr>
              <w:fldChar w:fldCharType="begin"/>
            </w:r>
            <w:r w:rsidRPr="00EA6358">
              <w:rPr>
                <w:rFonts w:ascii="Times New Roman" w:eastAsiaTheme="minorEastAsia" w:hAnsi="Times New Roman"/>
                <w:sz w:val="24"/>
                <w:szCs w:val="24"/>
                <w:lang w:val="en-US" w:eastAsia="en-US"/>
              </w:rPr>
              <w:instrText xml:space="preserve"> SEQ Equation \* ARABIC \s 1 </w:instrText>
            </w:r>
            <w:r w:rsidRPr="00EA6358">
              <w:rPr>
                <w:rFonts w:ascii="Times New Roman" w:hAnsi="Times New Roman"/>
              </w:rPr>
              <w:fldChar w:fldCharType="separate"/>
            </w:r>
            <w:r w:rsidR="00E40B16">
              <w:rPr>
                <w:rFonts w:ascii="Times New Roman" w:eastAsiaTheme="minorEastAsia" w:hAnsi="Times New Roman"/>
                <w:noProof/>
                <w:sz w:val="24"/>
                <w:szCs w:val="24"/>
                <w:lang w:val="en-US" w:eastAsia="en-US"/>
              </w:rPr>
              <w:t>2</w:t>
            </w:r>
            <w:r w:rsidRPr="00EA6358">
              <w:rPr>
                <w:rFonts w:ascii="Times New Roman" w:hAnsi="Times New Roman"/>
              </w:rPr>
              <w:fldChar w:fldCharType="end"/>
            </w:r>
            <w:r w:rsidRPr="00EA6358">
              <w:rPr>
                <w:rFonts w:ascii="Times New Roman" w:eastAsiaTheme="minorEastAsia" w:hAnsi="Times New Roman"/>
                <w:sz w:val="24"/>
                <w:szCs w:val="24"/>
                <w:lang w:val="en-US" w:eastAsia="en-US"/>
              </w:rPr>
              <w:t>)</w:t>
            </w:r>
          </w:p>
        </w:tc>
      </w:tr>
    </w:tbl>
    <w:p w14:paraId="01A41BDB" w14:textId="77777777" w:rsidR="00EA6358" w:rsidRPr="00EA6358" w:rsidRDefault="00EA6358" w:rsidP="00EA6358">
      <w:pPr>
        <w:spacing w:before="240" w:line="360" w:lineRule="auto"/>
        <w:jc w:val="both"/>
        <w:rPr>
          <w:rFonts w:ascii="Times New Roman" w:hAnsi="Times New Roman" w:cs="Times New Roman"/>
        </w:rPr>
      </w:pPr>
      <w:r w:rsidRPr="00EA6358">
        <w:rPr>
          <w:rFonts w:ascii="Times New Roman" w:hAnsi="Times New Roman" w:cs="Times New Roman"/>
        </w:rPr>
        <w:t xml:space="preserve">Note that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jj</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jj</m:t>
                </m:r>
              </m:sub>
            </m:sSub>
            <m:r>
              <m:rPr>
                <m:sty m:val="p"/>
              </m:rPr>
              <w:rPr>
                <w:rFonts w:ascii="Cambria Math" w:hAnsi="Cambria Math" w:cs="Times New Roman"/>
              </w:rPr>
              <m:t>)</m:t>
            </m:r>
          </m:num>
          <m:den>
            <m:rad>
              <m:radPr>
                <m:degHide m:val="1"/>
                <m:ctrlPr>
                  <w:rPr>
                    <w:rFonts w:ascii="Cambria Math" w:hAnsi="Cambria Math" w:cs="Times New Roman"/>
                  </w:rPr>
                </m:ctrlPr>
              </m:radPr>
              <m:deg/>
              <m:e>
                <m:r>
                  <w:rPr>
                    <w:rFonts w:ascii="Cambria Math" w:hAnsi="Cambria Math" w:cs="Times New Roman"/>
                  </w:rPr>
                  <m:t>S</m:t>
                </m:r>
                <m:d>
                  <m:dPr>
                    <m:ctrlPr>
                      <w:rPr>
                        <w:rFonts w:ascii="Cambria Math" w:hAnsi="Cambria Math" w:cs="Times New Roman"/>
                      </w:rPr>
                    </m:ctrlPr>
                  </m:dPr>
                  <m:e>
                    <m:sSup>
                      <m:sSupPr>
                        <m:ctrlPr>
                          <w:rPr>
                            <w:rFonts w:ascii="Cambria Math" w:hAnsi="Cambria Math" w:cs="Times New Roman"/>
                          </w:rPr>
                        </m:ctrlPr>
                      </m:sSupPr>
                      <m:e>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sub>
                            </m:sSub>
                          </m:e>
                        </m:d>
                      </m:e>
                      <m:sup>
                        <m:r>
                          <m:rPr>
                            <m:sty m:val="p"/>
                          </m:rPr>
                          <w:rPr>
                            <w:rFonts w:ascii="Cambria Math" w:hAnsi="Cambria Math" w:cs="Times New Roman"/>
                          </w:rPr>
                          <m:t>2</m:t>
                        </m:r>
                      </m:sup>
                    </m:sSup>
                  </m:e>
                </m:d>
                <m:r>
                  <m:rPr>
                    <m:sty m:val="p"/>
                  </m:rPr>
                  <w:rPr>
                    <w:rFonts w:ascii="Cambria Math" w:hAnsi="Cambria Math" w:cs="Times New Roman"/>
                  </w:rPr>
                  <m:t xml:space="preserve"> </m:t>
                </m:r>
                <m:r>
                  <w:rPr>
                    <w:rFonts w:ascii="Cambria Math" w:hAnsi="Cambria Math" w:cs="Times New Roman"/>
                  </w:rPr>
                  <m:t>S</m:t>
                </m:r>
                <m:d>
                  <m:dPr>
                    <m:ctrlPr>
                      <w:rPr>
                        <w:rFonts w:ascii="Cambria Math" w:hAnsi="Cambria Math" w:cs="Times New Roman"/>
                      </w:rPr>
                    </m:ctrlPr>
                  </m:dPr>
                  <m:e>
                    <m:sSup>
                      <m:sSupPr>
                        <m:ctrlPr>
                          <w:rPr>
                            <w:rFonts w:ascii="Cambria Math" w:hAnsi="Cambria Math" w:cs="Times New Roman"/>
                          </w:rPr>
                        </m:ctrlPr>
                      </m:sSupPr>
                      <m:e>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sub>
                            </m:sSub>
                          </m:e>
                        </m:d>
                      </m:e>
                      <m:sup>
                        <m:r>
                          <m:rPr>
                            <m:sty m:val="p"/>
                          </m:rPr>
                          <w:rPr>
                            <w:rFonts w:ascii="Cambria Math" w:hAnsi="Cambria Math" w:cs="Times New Roman"/>
                          </w:rPr>
                          <m:t>2</m:t>
                        </m:r>
                      </m:sup>
                    </m:sSup>
                  </m:e>
                </m:d>
                <m:r>
                  <m:rPr>
                    <m:sty m:val="p"/>
                  </m:rPr>
                  <w:rPr>
                    <w:rFonts w:ascii="Cambria Math" w:hAnsi="Cambria Math" w:cs="Times New Roman"/>
                  </w:rPr>
                  <m:t xml:space="preserve"> </m:t>
                </m:r>
              </m:e>
            </m:rad>
          </m:den>
        </m:f>
        <m:r>
          <m:rPr>
            <m:sty m:val="p"/>
          </m:rPr>
          <w:rPr>
            <w:rFonts w:ascii="Cambria Math" w:hAnsi="Cambria Math" w:cs="Times New Roman"/>
          </w:rPr>
          <m:t>=1</m:t>
        </m:r>
      </m:oMath>
      <w:r w:rsidRPr="00EA6358">
        <w:rPr>
          <w:rFonts w:ascii="Times New Roman" w:hAnsi="Times New Roman" w:cs="Times New Roman"/>
        </w:rPr>
        <w:t xml:space="preserve"> </w:t>
      </w:r>
      <w:proofErr w:type="gramStart"/>
      <w:r w:rsidRPr="00EA6358">
        <w:rPr>
          <w:rFonts w:ascii="Times New Roman" w:hAnsi="Times New Roman" w:cs="Times New Roman"/>
        </w:rPr>
        <w:t xml:space="preserve">As </w:t>
      </w:r>
      <w:proofErr w:type="gramEnd"/>
      <m:oMath>
        <m:r>
          <w:rPr>
            <w:rFonts w:ascii="Cambria Math" w:hAnsi="Cambria Math" w:cs="Times New Roman"/>
          </w:rPr>
          <m:t>M</m:t>
        </m:r>
      </m:oMath>
      <w:r w:rsidRPr="00EA6358">
        <w:rPr>
          <w:rFonts w:ascii="Times New Roman" w:hAnsi="Times New Roman" w:cs="Times New Roman"/>
        </w:rPr>
        <w:t xml:space="preserve">, the matrix </w:t>
      </w:r>
      <m:oMath>
        <m:r>
          <w:rPr>
            <w:rFonts w:ascii="Cambria Math" w:hAnsi="Cambria Math" w:cs="Times New Roman"/>
          </w:rPr>
          <m:t>C</m:t>
        </m:r>
      </m:oMath>
      <w:r w:rsidRPr="00EA6358">
        <w:rPr>
          <w:rFonts w:ascii="Times New Roman" w:hAnsi="Times New Roman" w:cs="Times New Roman"/>
        </w:rPr>
        <w:t xml:space="preserve"> is also a Hermitian matrix, i.e.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ij</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ρ</m:t>
            </m:r>
          </m:e>
          <m:sub>
            <m:r>
              <w:rPr>
                <w:rFonts w:ascii="Cambria Math" w:hAnsi="Cambria Math" w:cs="Times New Roman"/>
              </w:rPr>
              <m:t>ji</m:t>
            </m:r>
          </m:sub>
          <m:sup>
            <m:r>
              <m:rPr>
                <m:sty m:val="p"/>
              </m:rPr>
              <w:rPr>
                <w:rFonts w:ascii="Cambria Math" w:hAnsi="Cambria Math" w:cs="Times New Roman"/>
              </w:rPr>
              <m:t>*</m:t>
            </m:r>
          </m:sup>
        </m:sSubSup>
      </m:oMath>
      <w:r w:rsidRPr="00EA6358">
        <w:rPr>
          <w:rFonts w:ascii="Times New Roman" w:hAnsi="Times New Roman" w:cs="Times New Roman"/>
        </w:rPr>
        <w:t>.</w:t>
      </w:r>
    </w:p>
    <w:p w14:paraId="0FCD53AA" w14:textId="77777777" w:rsidR="00EA6358" w:rsidRPr="00EA6358" w:rsidRDefault="00EA6358" w:rsidP="00EA6358">
      <w:pPr>
        <w:spacing w:before="240" w:line="360" w:lineRule="auto"/>
        <w:jc w:val="both"/>
        <w:rPr>
          <w:rFonts w:ascii="Times New Roman" w:hAnsi="Times New Roman" w:cs="Times New Roman"/>
        </w:rPr>
      </w:pPr>
      <w:r w:rsidRPr="00EA6358">
        <w:rPr>
          <w:rFonts w:ascii="Times New Roman" w:hAnsi="Times New Roman" w:cs="Times New Roman"/>
        </w:rPr>
        <w:t>Then, we can define the n-dimensional vector coherence by the following formula:</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1728"/>
      </w:tblGrid>
      <w:tr w:rsidR="00EA6358" w:rsidRPr="00EA6358" w14:paraId="2F7D92E0" w14:textId="77777777" w:rsidTr="00B273E2">
        <w:tc>
          <w:tcPr>
            <w:tcW w:w="4000" w:type="pct"/>
          </w:tcPr>
          <w:p w14:paraId="530F4F97" w14:textId="77777777" w:rsidR="00EA6358" w:rsidRPr="00970338" w:rsidRDefault="00F70355" w:rsidP="00EA6358">
            <w:pPr>
              <w:spacing w:before="240" w:line="360" w:lineRule="auto"/>
              <w:jc w:val="both"/>
              <w:rPr>
                <w:rFonts w:ascii="Times New Roman" w:hAnsi="Times New Roman"/>
                <w:sz w:val="24"/>
                <w:szCs w:val="24"/>
              </w:rPr>
            </w:pPr>
            <m:oMathPara>
              <m:oMath>
                <m:m>
                  <m:mPr>
                    <m:plcHide m:val="1"/>
                    <m:mcs>
                      <m:mc>
                        <m:mcPr>
                          <m:count m:val="1"/>
                          <m:mcJc m:val="right"/>
                        </m:mcPr>
                      </m:mc>
                    </m:mcs>
                    <m:ctrlPr>
                      <w:rPr>
                        <w:rFonts w:ascii="Cambria Math" w:hAnsi="Cambria Math"/>
                        <w:sz w:val="24"/>
                        <w:szCs w:val="24"/>
                      </w:rPr>
                    </m:ctrlPr>
                  </m:mPr>
                  <m:mr>
                    <m:e>
                      <m:r>
                        <w:rPr>
                          <w:rFonts w:ascii="Cambria Math" w:hAnsi="Cambria Math"/>
                          <w:sz w:val="24"/>
                          <w:szCs w:val="24"/>
                        </w:rPr>
                        <m:t>V</m:t>
                      </m:r>
                      <m:sSubSup>
                        <m:sSubSupPr>
                          <m:ctrlPr>
                            <w:rPr>
                              <w:rFonts w:ascii="Cambria Math" w:hAnsi="Cambria Math"/>
                              <w:sz w:val="24"/>
                              <w:szCs w:val="24"/>
                            </w:rPr>
                          </m:ctrlPr>
                        </m:sSubSupPr>
                        <m:e>
                          <m:r>
                            <w:rPr>
                              <w:rFonts w:ascii="Cambria Math" w:hAnsi="Cambria Math"/>
                              <w:sz w:val="24"/>
                              <w:szCs w:val="24"/>
                            </w:rPr>
                            <m:t>R</m:t>
                          </m:r>
                        </m:e>
                        <m:sub>
                          <m:r>
                            <m:rPr>
                              <m:sty m:val="p"/>
                            </m:rPr>
                            <w:rPr>
                              <w:rFonts w:ascii="Cambria Math" w:hAnsi="Cambria Math"/>
                              <w:sz w:val="24"/>
                              <w:szCs w:val="24"/>
                            </w:rPr>
                            <m:t>1(</m:t>
                          </m:r>
                          <m:r>
                            <w:rPr>
                              <w:rFonts w:ascii="Cambria Math" w:hAnsi="Cambria Math"/>
                              <w:sz w:val="24"/>
                              <w:szCs w:val="24"/>
                            </w:rPr>
                            <m:t>q</m:t>
                          </m:r>
                          <m:r>
                            <m:rPr>
                              <m:sty m:val="p"/>
                            </m:rPr>
                            <w:rPr>
                              <w:rFonts w:ascii="Cambria Math" w:hAnsi="Cambria Math"/>
                              <w:sz w:val="24"/>
                              <w:szCs w:val="24"/>
                            </w:rPr>
                            <m:t>)</m:t>
                          </m:r>
                        </m:sub>
                        <m:sup>
                          <m:r>
                            <m:rPr>
                              <m:sty m:val="p"/>
                            </m:rPr>
                            <w:rPr>
                              <w:rFonts w:ascii="Cambria Math" w:hAnsi="Cambria Math"/>
                              <w:sz w:val="24"/>
                              <w:szCs w:val="24"/>
                            </w:rPr>
                            <m:t>2</m:t>
                          </m:r>
                        </m:sup>
                      </m:sSubSup>
                      <m:r>
                        <m:rPr>
                          <m:sty m:val="p"/>
                        </m:rPr>
                        <w:rPr>
                          <w:rFonts w:ascii="Cambria Math" w:hAnsi="Cambria Math"/>
                          <w:sz w:val="24"/>
                          <w:szCs w:val="24"/>
                        </w:rPr>
                        <m:t>=1-</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d</m:t>
                              </m:r>
                            </m:sup>
                          </m:sSup>
                        </m:num>
                        <m:den>
                          <m:sSubSup>
                            <m:sSubSupPr>
                              <m:ctrlPr>
                                <w:rPr>
                                  <w:rFonts w:ascii="Cambria Math" w:hAnsi="Cambria Math"/>
                                  <w:sz w:val="24"/>
                                  <w:szCs w:val="24"/>
                                </w:rPr>
                              </m:ctrlPr>
                            </m:sSubSupPr>
                            <m:e>
                              <m:r>
                                <w:rPr>
                                  <w:rFonts w:ascii="Cambria Math" w:hAnsi="Cambria Math"/>
                                  <w:sz w:val="24"/>
                                  <w:szCs w:val="24"/>
                                </w:rPr>
                                <m:t>C</m:t>
                              </m:r>
                            </m:e>
                            <m:sub>
                              <m:r>
                                <m:rPr>
                                  <m:sty m:val="p"/>
                                </m:rPr>
                                <w:rPr>
                                  <w:rFonts w:ascii="Cambria Math" w:hAnsi="Cambria Math"/>
                                  <w:sz w:val="24"/>
                                  <w:szCs w:val="24"/>
                                </w:rPr>
                                <m:t>11</m:t>
                              </m:r>
                            </m:sub>
                            <m:sup>
                              <m:r>
                                <w:rPr>
                                  <w:rFonts w:ascii="Cambria Math" w:hAnsi="Cambria Math"/>
                                  <w:sz w:val="24"/>
                                  <w:szCs w:val="24"/>
                                </w:rPr>
                                <m:t>d</m:t>
                              </m:r>
                            </m:sup>
                          </m:sSubSup>
                        </m:den>
                      </m:f>
                      <m:r>
                        <m:rPr>
                          <m:sty m:val="p"/>
                        </m:rPr>
                        <w:rPr>
                          <w:rFonts w:ascii="Cambria Math" w:hAnsi="Cambria Math"/>
                          <w:sz w:val="24"/>
                          <w:szCs w:val="24"/>
                        </w:rPr>
                        <m:t>.</m:t>
                      </m:r>
                    </m:e>
                  </m:mr>
                </m:m>
              </m:oMath>
            </m:oMathPara>
          </w:p>
        </w:tc>
        <w:tc>
          <w:tcPr>
            <w:tcW w:w="1000" w:type="pct"/>
            <w:vAlign w:val="center"/>
          </w:tcPr>
          <w:p w14:paraId="0D6D26FE" w14:textId="10B19DA2" w:rsidR="00EA6358" w:rsidRPr="00EA6358" w:rsidRDefault="00EA6358" w:rsidP="00EA6358">
            <w:pPr>
              <w:spacing w:before="240" w:line="360" w:lineRule="auto"/>
              <w:jc w:val="both"/>
              <w:rPr>
                <w:rFonts w:ascii="Times New Roman" w:eastAsiaTheme="minorEastAsia" w:hAnsi="Times New Roman"/>
                <w:sz w:val="24"/>
                <w:szCs w:val="24"/>
                <w:lang w:val="en-US" w:eastAsia="en-US"/>
              </w:rPr>
            </w:pPr>
            <w:r w:rsidRPr="00EA6358">
              <w:rPr>
                <w:rFonts w:ascii="Times New Roman" w:eastAsiaTheme="minorEastAsia" w:hAnsi="Times New Roman"/>
                <w:sz w:val="24"/>
                <w:szCs w:val="24"/>
                <w:lang w:val="en-US" w:eastAsia="en-US"/>
              </w:rPr>
              <w:t>(</w:t>
            </w:r>
            <w:r w:rsidRPr="00EA6358">
              <w:rPr>
                <w:rFonts w:ascii="Times New Roman" w:hAnsi="Times New Roman"/>
              </w:rPr>
              <w:fldChar w:fldCharType="begin"/>
            </w:r>
            <w:r w:rsidRPr="00EA6358">
              <w:rPr>
                <w:rFonts w:ascii="Times New Roman" w:eastAsiaTheme="minorEastAsia" w:hAnsi="Times New Roman"/>
                <w:sz w:val="24"/>
                <w:szCs w:val="24"/>
                <w:lang w:val="en-US" w:eastAsia="en-US"/>
              </w:rPr>
              <w:instrText xml:space="preserve"> SEQ Equation \* ARABIC \s 1 </w:instrText>
            </w:r>
            <w:r w:rsidRPr="00EA6358">
              <w:rPr>
                <w:rFonts w:ascii="Times New Roman" w:hAnsi="Times New Roman"/>
              </w:rPr>
              <w:fldChar w:fldCharType="separate"/>
            </w:r>
            <w:r w:rsidR="00E40B16">
              <w:rPr>
                <w:rFonts w:ascii="Times New Roman" w:eastAsiaTheme="minorEastAsia" w:hAnsi="Times New Roman"/>
                <w:noProof/>
                <w:sz w:val="24"/>
                <w:szCs w:val="24"/>
                <w:lang w:val="en-US" w:eastAsia="en-US"/>
              </w:rPr>
              <w:t>3</w:t>
            </w:r>
            <w:r w:rsidRPr="00EA6358">
              <w:rPr>
                <w:rFonts w:ascii="Times New Roman" w:hAnsi="Times New Roman"/>
              </w:rPr>
              <w:fldChar w:fldCharType="end"/>
            </w:r>
            <w:r w:rsidRPr="00EA6358">
              <w:rPr>
                <w:rFonts w:ascii="Times New Roman" w:eastAsiaTheme="minorEastAsia" w:hAnsi="Times New Roman"/>
                <w:sz w:val="24"/>
                <w:szCs w:val="24"/>
                <w:lang w:val="en-US" w:eastAsia="en-US"/>
              </w:rPr>
              <w:t>)</w:t>
            </w:r>
          </w:p>
        </w:tc>
      </w:tr>
    </w:tbl>
    <w:p w14:paraId="45F30DE2" w14:textId="77777777" w:rsidR="00902DA3" w:rsidRDefault="00902DA3" w:rsidP="00032588">
      <w:pPr>
        <w:spacing w:before="240" w:line="360" w:lineRule="auto"/>
        <w:jc w:val="both"/>
        <w:rPr>
          <w:rFonts w:ascii="Times New Roman" w:hAnsi="Times New Roman" w:cs="Times New Roman"/>
          <w:b/>
          <w:bCs/>
        </w:rPr>
      </w:pPr>
    </w:p>
    <w:p w14:paraId="657A78B4" w14:textId="63267D55" w:rsidR="00032588" w:rsidRDefault="00032588" w:rsidP="00032588">
      <w:pPr>
        <w:spacing w:before="240" w:line="360" w:lineRule="auto"/>
        <w:jc w:val="both"/>
        <w:rPr>
          <w:rFonts w:ascii="Times New Roman" w:hAnsi="Times New Roman" w:cs="Times New Roman"/>
          <w:b/>
          <w:bCs/>
        </w:rPr>
      </w:pPr>
      <w:r w:rsidRPr="00F01961">
        <w:rPr>
          <w:rFonts w:ascii="Times New Roman" w:hAnsi="Times New Roman" w:cs="Times New Roman"/>
          <w:b/>
          <w:bCs/>
        </w:rPr>
        <w:t>RESULTS</w:t>
      </w:r>
    </w:p>
    <w:p w14:paraId="1040DD24" w14:textId="7D02251C" w:rsidR="004149A5" w:rsidRDefault="004149A5" w:rsidP="00032588">
      <w:pPr>
        <w:spacing w:before="240" w:line="360" w:lineRule="auto"/>
        <w:jc w:val="both"/>
        <w:rPr>
          <w:rFonts w:ascii="Times New Roman" w:hAnsi="Times New Roman" w:cs="Times New Roman"/>
          <w:b/>
          <w:bCs/>
        </w:rPr>
      </w:pPr>
      <w:r>
        <w:rPr>
          <w:rFonts w:ascii="Times New Roman" w:hAnsi="Times New Roman" w:cs="Times New Roman"/>
          <w:b/>
          <w:bCs/>
        </w:rPr>
        <w:t>The Results for Research Question 1</w:t>
      </w:r>
    </w:p>
    <w:p w14:paraId="5656AF23" w14:textId="29121CE5" w:rsidR="00560AC8" w:rsidRDefault="00560AC8" w:rsidP="00032588">
      <w:pPr>
        <w:spacing w:before="240" w:line="360" w:lineRule="auto"/>
        <w:jc w:val="both"/>
        <w:rPr>
          <w:rFonts w:ascii="Times New Roman" w:hAnsi="Times New Roman" w:cs="Times New Roman"/>
        </w:rPr>
      </w:pPr>
      <w:r w:rsidRPr="00560AC8">
        <w:rPr>
          <w:rFonts w:ascii="Times New Roman" w:hAnsi="Times New Roman" w:cs="Times New Roman"/>
        </w:rPr>
        <w:t xml:space="preserve">According to the lead-lag relationship, </w:t>
      </w:r>
      <w:r w:rsidR="00D05FAD">
        <w:rPr>
          <w:rFonts w:ascii="Times New Roman" w:hAnsi="Times New Roman" w:cs="Times New Roman"/>
        </w:rPr>
        <w:t xml:space="preserve">the </w:t>
      </w:r>
      <w:r w:rsidRPr="00560AC8">
        <w:rPr>
          <w:rFonts w:ascii="Times New Roman" w:hAnsi="Times New Roman" w:cs="Times New Roman"/>
        </w:rPr>
        <w:t xml:space="preserve">results of XWT and WTC support together for the 1994 currency crisis. Nevertheless, for the 2001 banking crisis, phase difference results are different. According to </w:t>
      </w:r>
      <w:proofErr w:type="spellStart"/>
      <w:r w:rsidRPr="00560AC8">
        <w:rPr>
          <w:rFonts w:ascii="Times New Roman" w:hAnsi="Times New Roman" w:cs="Times New Roman"/>
        </w:rPr>
        <w:t>Andries</w:t>
      </w:r>
      <w:proofErr w:type="spellEnd"/>
      <w:r w:rsidRPr="00560AC8">
        <w:rPr>
          <w:rFonts w:ascii="Times New Roman" w:hAnsi="Times New Roman" w:cs="Times New Roman"/>
        </w:rPr>
        <w:t xml:space="preserve"> et al. (2014) (</w:t>
      </w:r>
      <w:proofErr w:type="spellStart"/>
      <w:r w:rsidRPr="00560AC8">
        <w:rPr>
          <w:rFonts w:ascii="Times New Roman" w:hAnsi="Times New Roman" w:cs="Times New Roman"/>
        </w:rPr>
        <w:t>Andries</w:t>
      </w:r>
      <w:proofErr w:type="spellEnd"/>
      <w:r w:rsidRPr="00560AC8">
        <w:rPr>
          <w:rFonts w:ascii="Times New Roman" w:hAnsi="Times New Roman" w:cs="Times New Roman"/>
        </w:rPr>
        <w:t xml:space="preserve">, </w:t>
      </w:r>
      <w:proofErr w:type="spellStart"/>
      <w:r w:rsidRPr="00560AC8">
        <w:rPr>
          <w:rFonts w:ascii="Times New Roman" w:hAnsi="Times New Roman" w:cs="Times New Roman"/>
        </w:rPr>
        <w:t>Alin</w:t>
      </w:r>
      <w:proofErr w:type="spellEnd"/>
      <w:r w:rsidRPr="00560AC8">
        <w:rPr>
          <w:rFonts w:ascii="Times New Roman" w:hAnsi="Times New Roman" w:cs="Times New Roman"/>
        </w:rPr>
        <w:t xml:space="preserve"> Marius; </w:t>
      </w:r>
      <w:proofErr w:type="spellStart"/>
      <w:r w:rsidRPr="00560AC8">
        <w:rPr>
          <w:rFonts w:ascii="Times New Roman" w:hAnsi="Times New Roman" w:cs="Times New Roman"/>
        </w:rPr>
        <w:t>Ihnatov</w:t>
      </w:r>
      <w:proofErr w:type="spellEnd"/>
      <w:r w:rsidRPr="00560AC8">
        <w:rPr>
          <w:rFonts w:ascii="Times New Roman" w:hAnsi="Times New Roman" w:cs="Times New Roman"/>
        </w:rPr>
        <w:t xml:space="preserve">, Iulian; </w:t>
      </w:r>
      <w:r w:rsidRPr="00560AC8">
        <w:rPr>
          <w:rFonts w:ascii="Times New Roman" w:hAnsi="Times New Roman" w:cs="Times New Roman"/>
        </w:rPr>
        <w:lastRenderedPageBreak/>
        <w:t xml:space="preserve">Tiwari, </w:t>
      </w:r>
      <w:proofErr w:type="spellStart"/>
      <w:r w:rsidRPr="00560AC8">
        <w:rPr>
          <w:rFonts w:ascii="Times New Roman" w:hAnsi="Times New Roman" w:cs="Times New Roman"/>
        </w:rPr>
        <w:t>Aviral</w:t>
      </w:r>
      <w:proofErr w:type="spellEnd"/>
      <w:r w:rsidRPr="00560AC8">
        <w:rPr>
          <w:rFonts w:ascii="Times New Roman" w:hAnsi="Times New Roman" w:cs="Times New Roman"/>
        </w:rPr>
        <w:t xml:space="preserve"> Kumar, 2014), </w:t>
      </w:r>
      <w:r>
        <w:rPr>
          <w:rFonts w:ascii="Times New Roman" w:hAnsi="Times New Roman" w:cs="Times New Roman"/>
        </w:rPr>
        <w:t>“</w:t>
      </w:r>
      <w:r w:rsidRPr="00560AC8">
        <w:rPr>
          <w:rFonts w:ascii="Times New Roman" w:hAnsi="Times New Roman" w:cs="Times New Roman"/>
        </w:rPr>
        <w:t>cross wavelet describes the common power of two processes without normalization to the single wavelet power spectrum. This can produce misleading results because one essentially multiplies the continuous wavelet transform of two</w:t>
      </w:r>
      <w:r w:rsidR="006346F0">
        <w:rPr>
          <w:rFonts w:ascii="Times New Roman" w:hAnsi="Times New Roman" w:cs="Times New Roman"/>
        </w:rPr>
        <w:t xml:space="preserve"> </w:t>
      </w:r>
      <w:r w:rsidRPr="00560AC8">
        <w:rPr>
          <w:rFonts w:ascii="Times New Roman" w:hAnsi="Times New Roman" w:cs="Times New Roman"/>
        </w:rPr>
        <w:t>time series.</w:t>
      </w:r>
      <w:r>
        <w:rPr>
          <w:rFonts w:ascii="Times New Roman" w:hAnsi="Times New Roman" w:cs="Times New Roman"/>
        </w:rPr>
        <w:t>”</w:t>
      </w:r>
      <w:r w:rsidRPr="00560AC8">
        <w:rPr>
          <w:rFonts w:ascii="Times New Roman" w:hAnsi="Times New Roman" w:cs="Times New Roman"/>
        </w:rPr>
        <w:t xml:space="preserve"> Because of this, we consider wavelet coherence results.</w:t>
      </w:r>
    </w:p>
    <w:p w14:paraId="7465A997" w14:textId="7D4061AD" w:rsidR="00560AC8" w:rsidRPr="00560AC8" w:rsidRDefault="00560AC8" w:rsidP="00560AC8">
      <w:pPr>
        <w:spacing w:before="240" w:line="360" w:lineRule="auto"/>
        <w:ind w:firstLine="720"/>
        <w:jc w:val="both"/>
        <w:rPr>
          <w:rFonts w:ascii="Times New Roman" w:hAnsi="Times New Roman" w:cs="Times New Roman"/>
        </w:rPr>
      </w:pPr>
      <w:r>
        <w:rPr>
          <w:rFonts w:ascii="Times New Roman" w:hAnsi="Times New Roman" w:cs="Times New Roman"/>
        </w:rPr>
        <w:t xml:space="preserve">Table 1 </w:t>
      </w:r>
      <w:r w:rsidRPr="00560AC8">
        <w:rPr>
          <w:rFonts w:ascii="Times New Roman" w:hAnsi="Times New Roman" w:cs="Times New Roman"/>
        </w:rPr>
        <w:t xml:space="preserve">demonstrates that these two crises have structural differences. In the 1994 currency crisis, fluctuations </w:t>
      </w:r>
      <w:r w:rsidR="006346F0">
        <w:rPr>
          <w:rFonts w:ascii="Times New Roman" w:hAnsi="Times New Roman" w:cs="Times New Roman"/>
        </w:rPr>
        <w:t>in</w:t>
      </w:r>
      <w:r w:rsidRPr="00560AC8">
        <w:rPr>
          <w:rFonts w:ascii="Times New Roman" w:hAnsi="Times New Roman" w:cs="Times New Roman"/>
        </w:rPr>
        <w:t xml:space="preserve"> currency may affect stock, interest rate, and trade balance returns. Unlike the 1994 currency crisis, the 2001 banking crisis was based on interest rate fluctuations and affected Turkey’s whole banking system. Phase difference results confirm this information. These results indicate that macroeconomic fluctuations often appear in crisis periods</w:t>
      </w:r>
      <w:r w:rsidR="006346F0">
        <w:rPr>
          <w:rFonts w:ascii="Times New Roman" w:hAnsi="Times New Roman" w:cs="Times New Roman"/>
        </w:rPr>
        <w:t>,</w:t>
      </w:r>
      <w:r w:rsidRPr="00560AC8">
        <w:rPr>
          <w:rFonts w:ascii="Times New Roman" w:hAnsi="Times New Roman" w:cs="Times New Roman"/>
        </w:rPr>
        <w:t xml:space="preserve"> as stock and interest rate return fluctuations occurred in Turkey’s crises and provide us information about the reasons for the occurrence of crises.</w:t>
      </w:r>
    </w:p>
    <w:p w14:paraId="6695339F" w14:textId="13C123C4" w:rsidR="004149A5" w:rsidRDefault="004149A5" w:rsidP="004149A5">
      <w:pPr>
        <w:spacing w:before="240" w:line="360" w:lineRule="auto"/>
        <w:jc w:val="both"/>
        <w:rPr>
          <w:rFonts w:ascii="Times New Roman" w:hAnsi="Times New Roman" w:cs="Times New Roman"/>
          <w:b/>
          <w:bCs/>
        </w:rPr>
      </w:pPr>
      <w:r>
        <w:rPr>
          <w:rFonts w:ascii="Times New Roman" w:hAnsi="Times New Roman" w:cs="Times New Roman"/>
          <w:b/>
          <w:bCs/>
        </w:rPr>
        <w:t>The Results for Research Question 2</w:t>
      </w:r>
    </w:p>
    <w:p w14:paraId="7385D810" w14:textId="29D8B389" w:rsidR="00D05FAD" w:rsidRPr="00D05FAD" w:rsidRDefault="00D05FAD" w:rsidP="004149A5">
      <w:pPr>
        <w:spacing w:before="240" w:line="360" w:lineRule="auto"/>
        <w:jc w:val="both"/>
        <w:rPr>
          <w:rFonts w:ascii="Times New Roman" w:hAnsi="Times New Roman" w:cs="Times New Roman"/>
        </w:rPr>
      </w:pPr>
      <w:r w:rsidRPr="00D05FAD">
        <w:rPr>
          <w:rFonts w:ascii="Times New Roman" w:hAnsi="Times New Roman" w:cs="Times New Roman"/>
        </w:rPr>
        <w:t xml:space="preserve">The q-order Hurst, pointwise, and local </w:t>
      </w:r>
      <w:proofErr w:type="spellStart"/>
      <w:r w:rsidRPr="00D05FAD">
        <w:rPr>
          <w:rFonts w:ascii="Times New Roman" w:hAnsi="Times New Roman" w:cs="Times New Roman"/>
        </w:rPr>
        <w:t>Hölder</w:t>
      </w:r>
      <w:proofErr w:type="spellEnd"/>
      <w:r w:rsidRPr="00D05FAD">
        <w:rPr>
          <w:rFonts w:ascii="Times New Roman" w:hAnsi="Times New Roman" w:cs="Times New Roman"/>
        </w:rPr>
        <w:t xml:space="preserve"> exponents are used to define the </w:t>
      </w:r>
      <w:r>
        <w:rPr>
          <w:rFonts w:ascii="Times New Roman" w:hAnsi="Times New Roman" w:cs="Times New Roman"/>
        </w:rPr>
        <w:t>time series’ fragilities to determine</w:t>
      </w:r>
      <w:r w:rsidRPr="00D05FAD">
        <w:rPr>
          <w:rFonts w:ascii="Times New Roman" w:hAnsi="Times New Roman" w:cs="Times New Roman"/>
        </w:rPr>
        <w:t xml:space="preserve"> the links between CDS and sectors. In this view, dynamic co-movements between the series are determined by wavelet coherence, taking into account the fragility, trend, and structural changes.</w:t>
      </w:r>
      <w:r w:rsidR="002C65C5">
        <w:rPr>
          <w:rFonts w:ascii="Times New Roman" w:hAnsi="Times New Roman" w:cs="Times New Roman"/>
        </w:rPr>
        <w:t xml:space="preserve"> </w:t>
      </w:r>
      <w:r>
        <w:rPr>
          <w:rFonts w:ascii="Times New Roman" w:hAnsi="Times New Roman" w:cs="Times New Roman"/>
        </w:rPr>
        <w:t xml:space="preserve">The results </w:t>
      </w:r>
      <w:r w:rsidR="002C65C5">
        <w:rPr>
          <w:rFonts w:ascii="Times New Roman" w:hAnsi="Times New Roman" w:cs="Times New Roman"/>
        </w:rPr>
        <w:t xml:space="preserve">are </w:t>
      </w:r>
      <w:r>
        <w:rPr>
          <w:rFonts w:ascii="Times New Roman" w:hAnsi="Times New Roman" w:cs="Times New Roman"/>
        </w:rPr>
        <w:t>presented in Figure 1.</w:t>
      </w:r>
      <w:r w:rsidRPr="00D05FAD">
        <w:rPr>
          <w:rFonts w:ascii="Times New Roman" w:hAnsi="Times New Roman" w:cs="Times New Roman"/>
        </w:rPr>
        <w:t xml:space="preserve"> The results </w:t>
      </w:r>
      <w:r>
        <w:rPr>
          <w:rFonts w:ascii="Times New Roman" w:hAnsi="Times New Roman" w:cs="Times New Roman"/>
        </w:rPr>
        <w:t>indicate that CDS explains</w:t>
      </w:r>
      <w:r w:rsidRPr="00D05FAD">
        <w:rPr>
          <w:rFonts w:ascii="Times New Roman" w:hAnsi="Times New Roman" w:cs="Times New Roman"/>
        </w:rPr>
        <w:t xml:space="preserve"> sectoral default probabilities in many time-frequency domains. As a result of the theoretical and fundamental contrasts between the exponents, the local </w:t>
      </w:r>
      <w:proofErr w:type="spellStart"/>
      <w:r w:rsidRPr="00D05FAD">
        <w:rPr>
          <w:rFonts w:ascii="Times New Roman" w:hAnsi="Times New Roman" w:cs="Times New Roman"/>
        </w:rPr>
        <w:t>Hölder</w:t>
      </w:r>
      <w:proofErr w:type="spellEnd"/>
      <w:r w:rsidRPr="00D05FAD">
        <w:rPr>
          <w:rFonts w:ascii="Times New Roman" w:hAnsi="Times New Roman" w:cs="Times New Roman"/>
        </w:rPr>
        <w:t xml:space="preserve"> exponent is selected to analyze crisis periods. However, according to local </w:t>
      </w:r>
      <w:proofErr w:type="spellStart"/>
      <w:r w:rsidRPr="00D05FAD">
        <w:rPr>
          <w:rFonts w:ascii="Times New Roman" w:hAnsi="Times New Roman" w:cs="Times New Roman"/>
        </w:rPr>
        <w:t>Hölder</w:t>
      </w:r>
      <w:proofErr w:type="spellEnd"/>
      <w:r w:rsidRPr="00D05FAD">
        <w:rPr>
          <w:rFonts w:ascii="Times New Roman" w:hAnsi="Times New Roman" w:cs="Times New Roman"/>
        </w:rPr>
        <w:t xml:space="preserve"> exponents, the co-movement of the CDS and PDs reveals all the financial crises in the analysis period. Another significant finding also discusses the lead-lag relationship: the sectoral default probability is the leading indicator </w:t>
      </w:r>
      <w:r>
        <w:rPr>
          <w:rFonts w:ascii="Times New Roman" w:hAnsi="Times New Roman" w:cs="Times New Roman"/>
        </w:rPr>
        <w:t>of catching</w:t>
      </w:r>
      <w:r w:rsidRPr="00D05FAD">
        <w:rPr>
          <w:rFonts w:ascii="Times New Roman" w:hAnsi="Times New Roman" w:cs="Times New Roman"/>
        </w:rPr>
        <w:t xml:space="preserve"> the financial crisis.</w:t>
      </w:r>
    </w:p>
    <w:p w14:paraId="04EA4D1B" w14:textId="26665016" w:rsidR="004149A5" w:rsidRPr="00F01961" w:rsidRDefault="004149A5" w:rsidP="004149A5">
      <w:pPr>
        <w:spacing w:before="240" w:line="360" w:lineRule="auto"/>
        <w:jc w:val="both"/>
        <w:rPr>
          <w:rFonts w:ascii="Times New Roman" w:hAnsi="Times New Roman" w:cs="Times New Roman"/>
          <w:b/>
          <w:bCs/>
        </w:rPr>
      </w:pPr>
      <w:r>
        <w:rPr>
          <w:rFonts w:ascii="Times New Roman" w:hAnsi="Times New Roman" w:cs="Times New Roman"/>
          <w:b/>
          <w:bCs/>
        </w:rPr>
        <w:t>The Results for Research Question 3</w:t>
      </w:r>
    </w:p>
    <w:p w14:paraId="6E6F4A97" w14:textId="32B1FD44" w:rsidR="00D729B1" w:rsidRPr="00D729B1" w:rsidRDefault="00D729B1" w:rsidP="00D729B1">
      <w:pPr>
        <w:spacing w:before="240" w:line="360" w:lineRule="auto"/>
        <w:jc w:val="both"/>
        <w:rPr>
          <w:rFonts w:ascii="Times New Roman" w:hAnsi="Times New Roman" w:cs="Times New Roman"/>
        </w:rPr>
      </w:pPr>
      <w:r w:rsidRPr="00D729B1">
        <w:rPr>
          <w:rFonts w:ascii="Times New Roman" w:hAnsi="Times New Roman" w:cs="Times New Roman"/>
        </w:rPr>
        <w:t xml:space="preserve">This study suggests a new </w:t>
      </w:r>
      <w:proofErr w:type="spellStart"/>
      <w:r w:rsidRPr="00D729B1">
        <w:rPr>
          <w:rFonts w:ascii="Times New Roman" w:hAnsi="Times New Roman" w:cs="Times New Roman"/>
        </w:rPr>
        <w:t>econophysics</w:t>
      </w:r>
      <w:proofErr w:type="spellEnd"/>
      <w:r w:rsidRPr="00D729B1">
        <w:rPr>
          <w:rFonts w:ascii="Times New Roman" w:hAnsi="Times New Roman" w:cs="Times New Roman"/>
        </w:rPr>
        <w:t xml:space="preserve"> tool, the vector wavelet coherence, that may be useful in investigating dynamic co-movements of multivariate time series. The vector wavelet coherence is defined as the n-dimensional extension of wavelet coherence, multiple wavelet coherence, and quadruple wavelet coherence. </w:t>
      </w:r>
      <w:proofErr w:type="spellStart"/>
      <w:r w:rsidRPr="00D729B1">
        <w:rPr>
          <w:rFonts w:ascii="Times New Roman" w:hAnsi="Times New Roman" w:cs="Times New Roman"/>
        </w:rPr>
        <w:t>Vectorwavelet</w:t>
      </w:r>
      <w:proofErr w:type="spellEnd"/>
      <w:r w:rsidRPr="00D729B1">
        <w:rPr>
          <w:rFonts w:ascii="Times New Roman" w:hAnsi="Times New Roman" w:cs="Times New Roman"/>
        </w:rPr>
        <w:t xml:space="preserve"> </w:t>
      </w:r>
      <w:sdt>
        <w:sdtPr>
          <w:rPr>
            <w:rFonts w:ascii="Times New Roman" w:hAnsi="Times New Roman" w:cs="Times New Roman"/>
          </w:rPr>
          <w:id w:val="2097281856"/>
          <w:citation/>
        </w:sdtPr>
        <w:sdtEndPr/>
        <w:sdtContent>
          <w:r w:rsidRPr="00D729B1">
            <w:rPr>
              <w:rFonts w:ascii="Times New Roman" w:hAnsi="Times New Roman" w:cs="Times New Roman"/>
            </w:rPr>
            <w:fldChar w:fldCharType="begin"/>
          </w:r>
          <w:r w:rsidRPr="00D729B1">
            <w:rPr>
              <w:rFonts w:ascii="Times New Roman" w:hAnsi="Times New Roman" w:cs="Times New Roman"/>
            </w:rPr>
            <w:instrText xml:space="preserve"> CITATION Oygur2020 \l 1055 </w:instrText>
          </w:r>
          <w:r w:rsidRPr="00D729B1">
            <w:rPr>
              <w:rFonts w:ascii="Times New Roman" w:hAnsi="Times New Roman" w:cs="Times New Roman"/>
            </w:rPr>
            <w:fldChar w:fldCharType="separate"/>
          </w:r>
          <w:r w:rsidRPr="00D729B1">
            <w:rPr>
              <w:rFonts w:ascii="Times New Roman" w:hAnsi="Times New Roman" w:cs="Times New Roman"/>
            </w:rPr>
            <w:t xml:space="preserve">(Oygur, </w:t>
          </w:r>
          <w:r w:rsidRPr="00D729B1">
            <w:rPr>
              <w:rFonts w:ascii="Times New Roman" w:hAnsi="Times New Roman" w:cs="Times New Roman"/>
            </w:rPr>
            <w:lastRenderedPageBreak/>
            <w:t>Tunc; Unal, Gazanfer, 2020)</w:t>
          </w:r>
          <w:r w:rsidRPr="00D729B1">
            <w:rPr>
              <w:rFonts w:ascii="Times New Roman" w:hAnsi="Times New Roman" w:cs="Times New Roman"/>
            </w:rPr>
            <w:fldChar w:fldCharType="end"/>
          </w:r>
        </w:sdtContent>
      </w:sdt>
      <w:r w:rsidRPr="00D729B1">
        <w:rPr>
          <w:rFonts w:ascii="Times New Roman" w:hAnsi="Times New Roman" w:cs="Times New Roman"/>
        </w:rPr>
        <w:t xml:space="preserve"> R computer packages facilit</w:t>
      </w:r>
      <w:r>
        <w:rPr>
          <w:rFonts w:ascii="Times New Roman" w:hAnsi="Times New Roman" w:cs="Times New Roman"/>
        </w:rPr>
        <w:t>ate</w:t>
      </w:r>
      <w:r w:rsidRPr="00D729B1">
        <w:rPr>
          <w:rFonts w:ascii="Times New Roman" w:hAnsi="Times New Roman" w:cs="Times New Roman"/>
        </w:rPr>
        <w:t xml:space="preserve"> the computations of vector wavelet coherence. </w:t>
      </w:r>
    </w:p>
    <w:p w14:paraId="02274EBA" w14:textId="61967F15" w:rsidR="001550B3" w:rsidRPr="00AE47A9" w:rsidRDefault="001550B3" w:rsidP="00AE47A9">
      <w:pPr>
        <w:spacing w:before="240" w:line="360" w:lineRule="auto"/>
        <w:jc w:val="both"/>
        <w:rPr>
          <w:rFonts w:ascii="Times New Roman" w:hAnsi="Times New Roman" w:cs="Times New Roman"/>
          <w:b/>
          <w:bCs/>
        </w:rPr>
      </w:pPr>
      <w:r w:rsidRPr="00F01961">
        <w:rPr>
          <w:rFonts w:ascii="Times New Roman" w:hAnsi="Times New Roman" w:cs="Times New Roman"/>
          <w:b/>
          <w:bCs/>
        </w:rPr>
        <w:t>DISCUSSION and CONCLUSION</w:t>
      </w:r>
    </w:p>
    <w:p w14:paraId="6B15B335" w14:textId="62CAA694" w:rsidR="00EA1571" w:rsidRDefault="00942BAD" w:rsidP="00942BAD">
      <w:pPr>
        <w:spacing w:before="240" w:line="360" w:lineRule="auto"/>
        <w:jc w:val="both"/>
        <w:rPr>
          <w:rFonts w:ascii="Times New Roman" w:hAnsi="Times New Roman" w:cs="Times New Roman"/>
          <w:b/>
          <w:bCs/>
        </w:rPr>
      </w:pPr>
      <w:r>
        <w:rPr>
          <w:rFonts w:ascii="Times New Roman" w:hAnsi="Times New Roman" w:cs="Times New Roman"/>
          <w:b/>
          <w:bCs/>
        </w:rPr>
        <w:t>Chapter 1</w:t>
      </w:r>
    </w:p>
    <w:p w14:paraId="29CA90BE" w14:textId="346DE65F" w:rsidR="0037421D" w:rsidRDefault="0037421D" w:rsidP="0037421D">
      <w:pPr>
        <w:spacing w:before="240" w:line="360" w:lineRule="auto"/>
        <w:jc w:val="both"/>
        <w:rPr>
          <w:rFonts w:ascii="Times New Roman" w:hAnsi="Times New Roman" w:cs="Times New Roman"/>
        </w:rPr>
      </w:pPr>
      <w:r>
        <w:rPr>
          <w:rFonts w:ascii="Times New Roman" w:hAnsi="Times New Roman" w:cs="Times New Roman"/>
        </w:rPr>
        <w:t xml:space="preserve">The </w:t>
      </w:r>
      <w:r w:rsidRPr="0037421D">
        <w:rPr>
          <w:rFonts w:ascii="Times New Roman" w:hAnsi="Times New Roman" w:cs="Times New Roman"/>
        </w:rPr>
        <w:t>multiple wavelet coherence</w:t>
      </w:r>
      <w:r>
        <w:rPr>
          <w:rFonts w:ascii="Times New Roman" w:hAnsi="Times New Roman" w:cs="Times New Roman"/>
        </w:rPr>
        <w:t xml:space="preserve"> </w:t>
      </w:r>
      <w:r w:rsidRPr="0037421D">
        <w:rPr>
          <w:rFonts w:ascii="Times New Roman" w:hAnsi="Times New Roman" w:cs="Times New Roman"/>
        </w:rPr>
        <w:t>and quadruple</w:t>
      </w:r>
      <w:r>
        <w:rPr>
          <w:rFonts w:ascii="Times New Roman" w:hAnsi="Times New Roman" w:cs="Times New Roman"/>
        </w:rPr>
        <w:t xml:space="preserve"> (Figure </w:t>
      </w:r>
      <w:r w:rsidR="00077A74">
        <w:rPr>
          <w:rFonts w:ascii="Times New Roman" w:hAnsi="Times New Roman" w:cs="Times New Roman"/>
        </w:rPr>
        <w:t>2</w:t>
      </w:r>
      <w:r>
        <w:rPr>
          <w:rFonts w:ascii="Times New Roman" w:hAnsi="Times New Roman" w:cs="Times New Roman"/>
        </w:rPr>
        <w:t>)</w:t>
      </w:r>
      <w:r w:rsidRPr="0037421D">
        <w:rPr>
          <w:rFonts w:ascii="Times New Roman" w:hAnsi="Times New Roman" w:cs="Times New Roman"/>
        </w:rPr>
        <w:t xml:space="preserve"> wavelet coherence demonstrate that stock returns are explained by exchange rate, interest rate, and trade balance returns in the most time-frequency domain. This finding allows us to analyze stock returns scale by scale and strongly correlated large scales indicating linear behavior. For this reason, we applied multivariate and univariate time series methodologies for predicting stock returns in selected regions. </w:t>
      </w:r>
      <w:proofErr w:type="gramStart"/>
      <w:r w:rsidRPr="0037421D">
        <w:rPr>
          <w:rFonts w:ascii="Times New Roman" w:hAnsi="Times New Roman" w:cs="Times New Roman"/>
        </w:rPr>
        <w:t>VARMA(</w:t>
      </w:r>
      <w:proofErr w:type="gramEnd"/>
      <w:r w:rsidRPr="0037421D">
        <w:rPr>
          <w:rFonts w:ascii="Times New Roman" w:hAnsi="Times New Roman" w:cs="Times New Roman"/>
        </w:rPr>
        <w:t>1,1) model appears to be the most appropriate model according to forecast performances</w:t>
      </w:r>
      <w:r w:rsidR="008A3FD0">
        <w:rPr>
          <w:rFonts w:ascii="Times New Roman" w:hAnsi="Times New Roman" w:cs="Times New Roman"/>
        </w:rPr>
        <w:t>.</w:t>
      </w:r>
    </w:p>
    <w:p w14:paraId="22188919" w14:textId="411188AD" w:rsidR="0094265F" w:rsidRDefault="0094265F" w:rsidP="0094265F">
      <w:pPr>
        <w:spacing w:before="240" w:line="360" w:lineRule="auto"/>
        <w:jc w:val="both"/>
        <w:rPr>
          <w:rFonts w:ascii="Times New Roman" w:hAnsi="Times New Roman" w:cs="Times New Roman"/>
          <w:b/>
          <w:bCs/>
        </w:rPr>
      </w:pPr>
      <w:r>
        <w:rPr>
          <w:rFonts w:ascii="Times New Roman" w:hAnsi="Times New Roman" w:cs="Times New Roman"/>
          <w:b/>
          <w:bCs/>
        </w:rPr>
        <w:t>Chapter 2</w:t>
      </w:r>
    </w:p>
    <w:p w14:paraId="35A2BAAC" w14:textId="3900D0CB" w:rsidR="0037421D" w:rsidRPr="0037421D" w:rsidRDefault="0094265F" w:rsidP="0037421D">
      <w:pPr>
        <w:spacing w:before="240" w:line="360" w:lineRule="auto"/>
        <w:jc w:val="both"/>
        <w:rPr>
          <w:rFonts w:ascii="Times New Roman" w:hAnsi="Times New Roman" w:cs="Times New Roman"/>
        </w:rPr>
      </w:pPr>
      <w:r>
        <w:rPr>
          <w:rFonts w:ascii="Times New Roman" w:hAnsi="Times New Roman" w:cs="Times New Roman"/>
        </w:rPr>
        <w:t xml:space="preserve">The </w:t>
      </w:r>
      <w:r w:rsidRPr="0094265F">
        <w:rPr>
          <w:rFonts w:ascii="Times New Roman" w:hAnsi="Times New Roman" w:cs="Times New Roman"/>
        </w:rPr>
        <w:t>CDS versus Consumer Cyclical, Basic Materials, and Utility sectors have been used for large-scale forecasts in the 2008 US subprime mortgage crisis period with the low</w:t>
      </w:r>
      <w:r>
        <w:rPr>
          <w:rFonts w:ascii="Times New Roman" w:hAnsi="Times New Roman" w:cs="Times New Roman"/>
        </w:rPr>
        <w:t>-</w:t>
      </w:r>
      <w:r w:rsidRPr="0094265F">
        <w:rPr>
          <w:rFonts w:ascii="Times New Roman" w:hAnsi="Times New Roman" w:cs="Times New Roman"/>
        </w:rPr>
        <w:t xml:space="preserve">frequency determined relations. The scale-by-scale analysis is performed on these views to create panes from local </w:t>
      </w:r>
      <w:proofErr w:type="spellStart"/>
      <w:r w:rsidRPr="0094265F">
        <w:rPr>
          <w:rFonts w:ascii="Times New Roman" w:hAnsi="Times New Roman" w:cs="Times New Roman"/>
        </w:rPr>
        <w:t>Hölder</w:t>
      </w:r>
      <w:proofErr w:type="spellEnd"/>
      <w:r w:rsidRPr="0094265F">
        <w:rPr>
          <w:rFonts w:ascii="Times New Roman" w:hAnsi="Times New Roman" w:cs="Times New Roman"/>
        </w:rPr>
        <w:t xml:space="preserve"> exponents. Then, we employed multivariate and univariate time series methodologies for 12-step- ahead (three months) prediction of the local </w:t>
      </w:r>
      <w:proofErr w:type="spellStart"/>
      <w:r w:rsidRPr="0094265F">
        <w:rPr>
          <w:rFonts w:ascii="Times New Roman" w:hAnsi="Times New Roman" w:cs="Times New Roman"/>
        </w:rPr>
        <w:t>Hölder</w:t>
      </w:r>
      <w:proofErr w:type="spellEnd"/>
      <w:r w:rsidRPr="0094265F">
        <w:rPr>
          <w:rFonts w:ascii="Times New Roman" w:hAnsi="Times New Roman" w:cs="Times New Roman"/>
        </w:rPr>
        <w:t xml:space="preserve"> exponents in chosen regions. The vector-type models perform better for modeling the macroeconomic series. Because the series show multifractal characteristics, the vectoral autoregressive fractionally integrated moving average model (VFARIMA) is established to be better than the benchmark models, which are FARIMA, VARMA, and ARMA in all selected windows.</w:t>
      </w:r>
    </w:p>
    <w:p w14:paraId="6EFB5B98" w14:textId="77777777" w:rsidR="00AC20EC" w:rsidRDefault="00AC20EC">
      <w:pPr>
        <w:rPr>
          <w:rFonts w:ascii="Times New Roman" w:hAnsi="Times New Roman" w:cs="Times New Roman"/>
          <w:b/>
          <w:bCs/>
        </w:rPr>
      </w:pPr>
      <w:r>
        <w:rPr>
          <w:rFonts w:ascii="Times New Roman" w:hAnsi="Times New Roman" w:cs="Times New Roman"/>
          <w:b/>
          <w:bCs/>
        </w:rPr>
        <w:br w:type="page"/>
      </w:r>
    </w:p>
    <w:p w14:paraId="6D400BDA" w14:textId="752D895B" w:rsidR="001550B3" w:rsidRPr="00F01961" w:rsidRDefault="001550B3" w:rsidP="001550B3">
      <w:pPr>
        <w:spacing w:before="240" w:line="360" w:lineRule="auto"/>
        <w:jc w:val="both"/>
        <w:rPr>
          <w:rFonts w:ascii="Times New Roman" w:hAnsi="Times New Roman" w:cs="Times New Roman"/>
          <w:b/>
          <w:bCs/>
        </w:rPr>
      </w:pPr>
      <w:r w:rsidRPr="00F01961">
        <w:rPr>
          <w:rFonts w:ascii="Times New Roman" w:hAnsi="Times New Roman" w:cs="Times New Roman"/>
          <w:b/>
          <w:bCs/>
        </w:rPr>
        <w:lastRenderedPageBreak/>
        <w:t>REFERENCES</w:t>
      </w:r>
    </w:p>
    <w:p w14:paraId="1F613A11" w14:textId="77777777" w:rsidR="00FD075D" w:rsidRDefault="00FD075D" w:rsidP="00FD075D">
      <w:pPr>
        <w:pStyle w:val="Kaynaka"/>
        <w:ind w:left="720" w:hanging="720"/>
        <w:rPr>
          <w:noProof/>
          <w:szCs w:val="24"/>
        </w:rPr>
      </w:pPr>
      <w:r>
        <w:rPr>
          <w:noProof/>
        </w:rPr>
        <w:t xml:space="preserve">Abry, Patrice; Goncalves, Paolo; Véhel, Jacques Lévy. (2013). </w:t>
      </w:r>
      <w:r>
        <w:rPr>
          <w:i/>
          <w:iCs/>
          <w:noProof/>
        </w:rPr>
        <w:t>Scaling, fractals and wavelets.</w:t>
      </w:r>
      <w:r>
        <w:rPr>
          <w:noProof/>
        </w:rPr>
        <w:t xml:space="preserve"> John Wiley &amp; Sons.</w:t>
      </w:r>
    </w:p>
    <w:p w14:paraId="6FFD6DE6" w14:textId="77777777" w:rsidR="00FD075D" w:rsidRDefault="00FD075D" w:rsidP="00FD075D">
      <w:pPr>
        <w:pStyle w:val="Kaynaka"/>
        <w:ind w:left="720" w:hanging="720"/>
        <w:rPr>
          <w:noProof/>
        </w:rPr>
      </w:pPr>
      <w:r>
        <w:rPr>
          <w:noProof/>
        </w:rPr>
        <w:t xml:space="preserve">Aguiar-Conraria, L., Azevedo, N., &amp; Soares, M. J. (2008). Using wavelets to decompose the time–frequency effects of monetary policy. </w:t>
      </w:r>
      <w:r>
        <w:rPr>
          <w:i/>
          <w:iCs/>
          <w:noProof/>
        </w:rPr>
        <w:t>Physica A: Statistical mechanics and its Applications, 387</w:t>
      </w:r>
      <w:r>
        <w:rPr>
          <w:noProof/>
        </w:rPr>
        <w:t>, 2863–2878.</w:t>
      </w:r>
    </w:p>
    <w:p w14:paraId="686DF495" w14:textId="77777777" w:rsidR="00FD075D" w:rsidRDefault="00FD075D" w:rsidP="00FD075D">
      <w:pPr>
        <w:pStyle w:val="Kaynaka"/>
        <w:ind w:left="720" w:hanging="720"/>
        <w:rPr>
          <w:noProof/>
        </w:rPr>
      </w:pPr>
      <w:r>
        <w:rPr>
          <w:noProof/>
        </w:rPr>
        <w:t xml:space="preserve">Aguiar-Conraria, Luı́s; Soares, Maria Joana. (2011). Oil and the macroeconomy: using wavelets to analyze old issues. </w:t>
      </w:r>
      <w:r>
        <w:rPr>
          <w:i/>
          <w:iCs/>
          <w:noProof/>
        </w:rPr>
        <w:t>Empirical Economics, 40</w:t>
      </w:r>
      <w:r>
        <w:rPr>
          <w:noProof/>
        </w:rPr>
        <w:t>, 645–655.</w:t>
      </w:r>
    </w:p>
    <w:p w14:paraId="5D4CE4D9" w14:textId="77777777" w:rsidR="00FD075D" w:rsidRDefault="00FD075D" w:rsidP="00FD075D">
      <w:pPr>
        <w:pStyle w:val="Kaynaka"/>
        <w:ind w:left="720" w:hanging="720"/>
        <w:rPr>
          <w:noProof/>
        </w:rPr>
      </w:pPr>
      <w:r>
        <w:rPr>
          <w:noProof/>
        </w:rPr>
        <w:t xml:space="preserve">Ahmad, M. A., Ahmad, R. U., &amp; Rehman, A. R. (2010). Do interest rate, exchange rates effect stock returns? </w:t>
      </w:r>
      <w:r>
        <w:rPr>
          <w:i/>
          <w:iCs/>
          <w:noProof/>
        </w:rPr>
        <w:t>A Pakistani Perspective, International Research Journal of Finance and Economics, 50</w:t>
      </w:r>
      <w:r>
        <w:rPr>
          <w:noProof/>
        </w:rPr>
        <w:t>, 146–150.</w:t>
      </w:r>
    </w:p>
    <w:p w14:paraId="69F4482C" w14:textId="77777777" w:rsidR="00FD075D" w:rsidRDefault="00FD075D" w:rsidP="00FD075D">
      <w:pPr>
        <w:pStyle w:val="Kaynaka"/>
        <w:ind w:left="720" w:hanging="720"/>
        <w:rPr>
          <w:noProof/>
        </w:rPr>
      </w:pPr>
      <w:r>
        <w:rPr>
          <w:noProof/>
        </w:rPr>
        <w:t xml:space="preserve">Andries, Alin Marius; Ihnatov, Iulian; Tiwari, Aviral Kumar. (2014). Analyzing time–frequency relationship between interest rate, stock price and exchange rate through continuous wavelet. </w:t>
      </w:r>
      <w:r>
        <w:rPr>
          <w:i/>
          <w:iCs/>
          <w:noProof/>
        </w:rPr>
        <w:t>Economic Modelling, 41</w:t>
      </w:r>
      <w:r>
        <w:rPr>
          <w:noProof/>
        </w:rPr>
        <w:t>, 227–238.</w:t>
      </w:r>
    </w:p>
    <w:p w14:paraId="5B81BD0A" w14:textId="77777777" w:rsidR="00FD075D" w:rsidRDefault="00FD075D" w:rsidP="00FD075D">
      <w:pPr>
        <w:pStyle w:val="Kaynaka"/>
        <w:ind w:left="720" w:hanging="720"/>
        <w:rPr>
          <w:noProof/>
        </w:rPr>
      </w:pPr>
      <w:r>
        <w:rPr>
          <w:noProof/>
        </w:rPr>
        <w:t xml:space="preserve">Arianos, Sergio; Carbone, Anna. (2007). Detrending moving average algorithm: A closed-form approximation of the scaling law. </w:t>
      </w:r>
      <w:r>
        <w:rPr>
          <w:i/>
          <w:iCs/>
          <w:noProof/>
        </w:rPr>
        <w:t>Physica A: Statistical Mechanics and its Applications, 382</w:t>
      </w:r>
      <w:r>
        <w:rPr>
          <w:noProof/>
        </w:rPr>
        <w:t>, 9-15. doi:https://doi.org/10.1016/j.physa.2007.02.074</w:t>
      </w:r>
    </w:p>
    <w:p w14:paraId="1B3E088B" w14:textId="77777777" w:rsidR="00FD075D" w:rsidRDefault="00FD075D" w:rsidP="00FD075D">
      <w:pPr>
        <w:pStyle w:val="Kaynaka"/>
        <w:ind w:left="720" w:hanging="720"/>
        <w:rPr>
          <w:noProof/>
        </w:rPr>
      </w:pPr>
      <w:r>
        <w:rPr>
          <w:noProof/>
        </w:rPr>
        <w:t xml:space="preserve">Asandului, Mircea; Lupu, Dan; Claudiu, Gabriel; Musetescu, Radu. (2015). DYNAMIC RELATIONS BETWEEN CDS AND STOCK MARKETS IN EASTERN EUROPEAN COUNTRIES. </w:t>
      </w:r>
      <w:r>
        <w:rPr>
          <w:i/>
          <w:iCs/>
          <w:noProof/>
        </w:rPr>
        <w:t>Economic Computation &amp; Economic Cybernetics Studies &amp; Research, 49</w:t>
      </w:r>
      <w:r>
        <w:rPr>
          <w:noProof/>
        </w:rPr>
        <w:t>, 151–170.</w:t>
      </w:r>
    </w:p>
    <w:p w14:paraId="35DA8328" w14:textId="77777777" w:rsidR="00FD075D" w:rsidRDefault="00FD075D" w:rsidP="00FD075D">
      <w:pPr>
        <w:pStyle w:val="Kaynaka"/>
        <w:ind w:left="720" w:hanging="720"/>
        <w:rPr>
          <w:noProof/>
        </w:rPr>
      </w:pPr>
      <w:r>
        <w:rPr>
          <w:noProof/>
        </w:rPr>
        <w:t xml:space="preserve">Bharath, Sreedhar T.; Shumway, Tyler. (2004). Forecasting default with the KMV-Merton model. </w:t>
      </w:r>
      <w:r>
        <w:rPr>
          <w:i/>
          <w:iCs/>
          <w:noProof/>
        </w:rPr>
        <w:t>This article is available in SSRN</w:t>
      </w:r>
      <w:r>
        <w:rPr>
          <w:noProof/>
        </w:rPr>
        <w:t>.</w:t>
      </w:r>
    </w:p>
    <w:p w14:paraId="1AE65406" w14:textId="77777777" w:rsidR="00FD075D" w:rsidRDefault="00FD075D" w:rsidP="00FD075D">
      <w:pPr>
        <w:pStyle w:val="Kaynaka"/>
        <w:ind w:left="720" w:hanging="720"/>
        <w:rPr>
          <w:noProof/>
        </w:rPr>
      </w:pPr>
      <w:r>
        <w:rPr>
          <w:noProof/>
        </w:rPr>
        <w:lastRenderedPageBreak/>
        <w:t xml:space="preserve">Choi, I., &amp; Park, D. (2008). Causal relation between interest and exchange rates in the Asian currency crisis. </w:t>
      </w:r>
      <w:r>
        <w:rPr>
          <w:i/>
          <w:iCs/>
          <w:noProof/>
        </w:rPr>
        <w:t>Japan and the World Economy, 20</w:t>
      </w:r>
      <w:r>
        <w:rPr>
          <w:noProof/>
        </w:rPr>
        <w:t>, 435–452.</w:t>
      </w:r>
    </w:p>
    <w:p w14:paraId="11323064" w14:textId="77777777" w:rsidR="00FD075D" w:rsidRDefault="00FD075D" w:rsidP="00FD075D">
      <w:pPr>
        <w:pStyle w:val="Kaynaka"/>
        <w:ind w:left="720" w:hanging="720"/>
        <w:rPr>
          <w:noProof/>
        </w:rPr>
      </w:pPr>
      <w:r>
        <w:rPr>
          <w:noProof/>
        </w:rPr>
        <w:t xml:space="preserve">Chung, Ching-Fan. (2001). Calculating and analyzing impulse responses for the vector ARFIMA model. </w:t>
      </w:r>
      <w:r>
        <w:rPr>
          <w:i/>
          <w:iCs/>
          <w:noProof/>
        </w:rPr>
        <w:t>Economics Letters, 71</w:t>
      </w:r>
      <w:r>
        <w:rPr>
          <w:noProof/>
        </w:rPr>
        <w:t>, 17–25.</w:t>
      </w:r>
    </w:p>
    <w:p w14:paraId="4D77275F" w14:textId="77777777" w:rsidR="00FD075D" w:rsidRDefault="00FD075D" w:rsidP="00FD075D">
      <w:pPr>
        <w:pStyle w:val="Kaynaka"/>
        <w:ind w:left="720" w:hanging="720"/>
        <w:rPr>
          <w:noProof/>
        </w:rPr>
      </w:pPr>
      <w:r>
        <w:rPr>
          <w:noProof/>
        </w:rPr>
        <w:t xml:space="preserve">Cumhur, T. A. Ş.; Ünal, Dr Gazanfer. (2013). MULTIFRACTAL BEHAVIOUR IN NATURAL GAS PRICES BY USING MF-DFA AND WTMM METHODS. </w:t>
      </w:r>
      <w:r>
        <w:rPr>
          <w:i/>
          <w:iCs/>
          <w:noProof/>
        </w:rPr>
        <w:t>International Journal of Economics and Finance Studies, 5</w:t>
      </w:r>
      <w:r>
        <w:rPr>
          <w:noProof/>
        </w:rPr>
        <w:t>, 44–55.</w:t>
      </w:r>
    </w:p>
    <w:p w14:paraId="6F2E4671" w14:textId="77777777" w:rsidR="00FD075D" w:rsidRDefault="00FD075D" w:rsidP="00FD075D">
      <w:pPr>
        <w:pStyle w:val="Kaynaka"/>
        <w:ind w:left="720" w:hanging="720"/>
        <w:rPr>
          <w:noProof/>
        </w:rPr>
      </w:pPr>
      <w:r>
        <w:rPr>
          <w:noProof/>
        </w:rPr>
        <w:t xml:space="preserve">Diamandis, P. F., &amp; Drakos, A. A. (2011). Financial liberalization, exchange rates and stock prices: Exogenous shocks in four Latin America countries. </w:t>
      </w:r>
      <w:r>
        <w:rPr>
          <w:i/>
          <w:iCs/>
          <w:noProof/>
        </w:rPr>
        <w:t>Journal of Policy Modeling, 33</w:t>
      </w:r>
      <w:r>
        <w:rPr>
          <w:noProof/>
        </w:rPr>
        <w:t>, 381–394.</w:t>
      </w:r>
    </w:p>
    <w:p w14:paraId="5D516292" w14:textId="77777777" w:rsidR="00FD075D" w:rsidRDefault="00FD075D" w:rsidP="00FD075D">
      <w:pPr>
        <w:pStyle w:val="Kaynaka"/>
        <w:ind w:left="720" w:hanging="720"/>
        <w:rPr>
          <w:noProof/>
        </w:rPr>
      </w:pPr>
      <w:r>
        <w:rPr>
          <w:noProof/>
        </w:rPr>
        <w:t xml:space="preserve">Fernández-Macho, Javier. (2012). Wavelet multiple correlation and cross-correlation: A multiscale analysis of Eurozone stock markets. </w:t>
      </w:r>
      <w:r>
        <w:rPr>
          <w:i/>
          <w:iCs/>
          <w:noProof/>
        </w:rPr>
        <w:t>Physica A: Statistical Mechanics and its Applications, 391</w:t>
      </w:r>
      <w:r>
        <w:rPr>
          <w:noProof/>
        </w:rPr>
        <w:t>, 1097–1104. doi:10.1016/j.physa.2011.11.002</w:t>
      </w:r>
    </w:p>
    <w:p w14:paraId="163F6F41" w14:textId="77777777" w:rsidR="00FD075D" w:rsidRDefault="00FD075D" w:rsidP="00FD075D">
      <w:pPr>
        <w:pStyle w:val="Kaynaka"/>
        <w:ind w:left="720" w:hanging="720"/>
        <w:rPr>
          <w:noProof/>
        </w:rPr>
      </w:pPr>
      <w:r>
        <w:rPr>
          <w:noProof/>
        </w:rPr>
        <w:t xml:space="preserve">Fernández-Macho, Javier. (2018). Time-localized wavelet multiple regression and correlation. </w:t>
      </w:r>
      <w:r>
        <w:rPr>
          <w:i/>
          <w:iCs/>
          <w:noProof/>
        </w:rPr>
        <w:t>Physica A: Statistical Mechanics and its Applications, 492</w:t>
      </w:r>
      <w:r>
        <w:rPr>
          <w:noProof/>
        </w:rPr>
        <w:t>, 1226–1238. doi:10.1016/j.physa.2017.11.050</w:t>
      </w:r>
    </w:p>
    <w:p w14:paraId="1A9BDFE4" w14:textId="77777777" w:rsidR="00FD075D" w:rsidRDefault="00FD075D" w:rsidP="00FD075D">
      <w:pPr>
        <w:pStyle w:val="Kaynaka"/>
        <w:ind w:left="720" w:hanging="720"/>
        <w:rPr>
          <w:noProof/>
        </w:rPr>
      </w:pPr>
      <w:r>
        <w:rPr>
          <w:noProof/>
        </w:rPr>
        <w:t xml:space="preserve">Fernández-Macho, Javier. (2018). wavemulcor: Wavelet Routines for Global and Local Multiple Correlation. </w:t>
      </w:r>
      <w:r>
        <w:rPr>
          <w:i/>
          <w:iCs/>
          <w:noProof/>
        </w:rPr>
        <w:t>R package</w:t>
      </w:r>
      <w:r>
        <w:rPr>
          <w:noProof/>
        </w:rPr>
        <w:t>.</w:t>
      </w:r>
    </w:p>
    <w:p w14:paraId="68E8E80C" w14:textId="77777777" w:rsidR="00FD075D" w:rsidRDefault="00FD075D" w:rsidP="00FD075D">
      <w:pPr>
        <w:pStyle w:val="Kaynaka"/>
        <w:ind w:left="720" w:hanging="720"/>
        <w:rPr>
          <w:noProof/>
        </w:rPr>
      </w:pPr>
      <w:r>
        <w:rPr>
          <w:noProof/>
        </w:rPr>
        <w:t xml:space="preserve">Grinsted, A., Moore, J. C., &amp; Jevrejeva, S. (2004). Application of the cross wavelet transform and wavelet coherence to geophysical time series. </w:t>
      </w:r>
      <w:r>
        <w:rPr>
          <w:i/>
          <w:iCs/>
          <w:noProof/>
        </w:rPr>
        <w:t>Nonlinear processes in geophysics, 11</w:t>
      </w:r>
      <w:r>
        <w:rPr>
          <w:noProof/>
        </w:rPr>
        <w:t>, 561–566.</w:t>
      </w:r>
    </w:p>
    <w:p w14:paraId="4A1AF35E" w14:textId="77777777" w:rsidR="00FD075D" w:rsidRDefault="00FD075D" w:rsidP="00FD075D">
      <w:pPr>
        <w:pStyle w:val="Kaynaka"/>
        <w:ind w:left="720" w:hanging="720"/>
        <w:rPr>
          <w:noProof/>
        </w:rPr>
      </w:pPr>
      <w:r>
        <w:rPr>
          <w:noProof/>
        </w:rPr>
        <w:lastRenderedPageBreak/>
        <w:t xml:space="preserve">Gülerce, M., &amp; Ünal, G. (2016). Using wavelet analysis to uncover the co-movement behavior of multiple energy commodity prices. </w:t>
      </w:r>
      <w:r>
        <w:rPr>
          <w:i/>
          <w:iCs/>
          <w:noProof/>
        </w:rPr>
        <w:t>International Journal of Wavelets, Multiresolution and Information Processing, 14</w:t>
      </w:r>
      <w:r>
        <w:rPr>
          <w:noProof/>
        </w:rPr>
        <w:t>, 1650047.</w:t>
      </w:r>
    </w:p>
    <w:p w14:paraId="06F74348" w14:textId="77777777" w:rsidR="00FD075D" w:rsidRDefault="00FD075D" w:rsidP="00FD075D">
      <w:pPr>
        <w:pStyle w:val="Kaynaka"/>
        <w:ind w:left="720" w:hanging="720"/>
        <w:rPr>
          <w:noProof/>
        </w:rPr>
      </w:pPr>
      <w:r>
        <w:rPr>
          <w:noProof/>
        </w:rPr>
        <w:t xml:space="preserve">Gülerce, Mustafa; Ünal, Gazanfer. (2018). Electricity price forecasting using multiple wavelet coherence method: Comparison of ARMA versus VARMA. </w:t>
      </w:r>
      <w:r>
        <w:rPr>
          <w:i/>
          <w:iCs/>
          <w:noProof/>
        </w:rPr>
        <w:t>International Journal of Financial Engineering, 5</w:t>
      </w:r>
      <w:r>
        <w:rPr>
          <w:noProof/>
        </w:rPr>
        <w:t>, 1850004. doi:10.1142/S2424786318500044</w:t>
      </w:r>
    </w:p>
    <w:p w14:paraId="56DCC45F" w14:textId="77777777" w:rsidR="00FD075D" w:rsidRDefault="00FD075D" w:rsidP="00FD075D">
      <w:pPr>
        <w:pStyle w:val="Kaynaka"/>
        <w:ind w:left="720" w:hanging="720"/>
        <w:rPr>
          <w:noProof/>
        </w:rPr>
      </w:pPr>
      <w:r>
        <w:rPr>
          <w:noProof/>
        </w:rPr>
        <w:t xml:space="preserve">Gupta, J. P., Chevalier, A., Sayekt, F., &amp; others. (2001). The Causality between interest rate, exchange rate and stock price in emerging markets: The case of the Jakarta Stock Exchange. </w:t>
      </w:r>
      <w:r>
        <w:rPr>
          <w:i/>
          <w:iCs/>
          <w:noProof/>
        </w:rPr>
        <w:t>Fuzzy Sets in Management, Economics, and Marketing</w:t>
      </w:r>
      <w:r>
        <w:rPr>
          <w:noProof/>
        </w:rPr>
        <w:t>, 145.</w:t>
      </w:r>
    </w:p>
    <w:p w14:paraId="6E665896" w14:textId="77777777" w:rsidR="00FD075D" w:rsidRDefault="00FD075D" w:rsidP="00FD075D">
      <w:pPr>
        <w:pStyle w:val="Kaynaka"/>
        <w:ind w:left="720" w:hanging="720"/>
        <w:rPr>
          <w:noProof/>
        </w:rPr>
      </w:pPr>
      <w:r>
        <w:rPr>
          <w:noProof/>
        </w:rPr>
        <w:t xml:space="preserve">Hamrita, M. E., &amp; Trifi, A. (2011). The relationship between interest rate, exchange rate and stock price: A wavelet analysis. </w:t>
      </w:r>
      <w:r>
        <w:rPr>
          <w:i/>
          <w:iCs/>
          <w:noProof/>
        </w:rPr>
        <w:t>International Journal of Economics and Financial Issues, 1</w:t>
      </w:r>
      <w:r>
        <w:rPr>
          <w:noProof/>
        </w:rPr>
        <w:t>, 220.</w:t>
      </w:r>
    </w:p>
    <w:p w14:paraId="676157CB" w14:textId="77777777" w:rsidR="00FD075D" w:rsidRDefault="00FD075D" w:rsidP="00FD075D">
      <w:pPr>
        <w:pStyle w:val="Kaynaka"/>
        <w:ind w:left="720" w:hanging="720"/>
        <w:rPr>
          <w:noProof/>
        </w:rPr>
      </w:pPr>
      <w:r>
        <w:rPr>
          <w:noProof/>
        </w:rPr>
        <w:t xml:space="preserve">Hansen, Peter R.; Lunde, Asger; Nason, James M. (2011). The Model Confidence Set. </w:t>
      </w:r>
      <w:r>
        <w:rPr>
          <w:i/>
          <w:iCs/>
          <w:noProof/>
        </w:rPr>
        <w:t>Econometrica, 79</w:t>
      </w:r>
      <w:r>
        <w:rPr>
          <w:noProof/>
        </w:rPr>
        <w:t>, 453-497. doi:10.3982/ECTA5771</w:t>
      </w:r>
    </w:p>
    <w:p w14:paraId="1C71F6C4" w14:textId="77777777" w:rsidR="00FD075D" w:rsidRDefault="00FD075D" w:rsidP="00FD075D">
      <w:pPr>
        <w:pStyle w:val="Kaynaka"/>
        <w:ind w:left="720" w:hanging="720"/>
        <w:rPr>
          <w:noProof/>
        </w:rPr>
      </w:pPr>
      <w:r>
        <w:rPr>
          <w:noProof/>
        </w:rPr>
        <w:t xml:space="preserve">Ihlen, E. A. (2012). Introduction to multifractal detrended fluctuation analysis in Matlab. </w:t>
      </w:r>
      <w:r>
        <w:rPr>
          <w:i/>
          <w:iCs/>
          <w:noProof/>
        </w:rPr>
        <w:t>Frontiers in physiology, 3</w:t>
      </w:r>
      <w:r>
        <w:rPr>
          <w:noProof/>
        </w:rPr>
        <w:t>, 141.</w:t>
      </w:r>
    </w:p>
    <w:p w14:paraId="5B1485E2" w14:textId="77777777" w:rsidR="00FD075D" w:rsidRDefault="00FD075D" w:rsidP="00FD075D">
      <w:pPr>
        <w:pStyle w:val="Kaynaka"/>
        <w:ind w:left="720" w:hanging="720"/>
        <w:rPr>
          <w:noProof/>
        </w:rPr>
      </w:pPr>
      <w:r>
        <w:rPr>
          <w:noProof/>
        </w:rPr>
        <w:t xml:space="preserve">Ioannidis, C., &amp; Kontonikas, A. (2008). The impact of monetary policy on stock prices. </w:t>
      </w:r>
      <w:r>
        <w:rPr>
          <w:i/>
          <w:iCs/>
          <w:noProof/>
        </w:rPr>
        <w:t>Journal of Policy Modeling, 30</w:t>
      </w:r>
      <w:r>
        <w:rPr>
          <w:noProof/>
        </w:rPr>
        <w:t>, 33–53.</w:t>
      </w:r>
    </w:p>
    <w:p w14:paraId="3D611049" w14:textId="77777777" w:rsidR="00FD075D" w:rsidRDefault="00FD075D" w:rsidP="00FD075D">
      <w:pPr>
        <w:pStyle w:val="Kaynaka"/>
        <w:ind w:left="720" w:hanging="720"/>
        <w:rPr>
          <w:noProof/>
        </w:rPr>
      </w:pPr>
      <w:r>
        <w:rPr>
          <w:noProof/>
        </w:rPr>
        <w:t xml:space="preserve">Jiang, Zhi-Qiang; Zhou, Wei-Xing. (2011, 7). Multifractal detrending moving-average cross-correlation analysis. </w:t>
      </w:r>
      <w:r>
        <w:rPr>
          <w:i/>
          <w:iCs/>
          <w:noProof/>
        </w:rPr>
        <w:t>Phys. Rev. E, 84</w:t>
      </w:r>
      <w:r>
        <w:rPr>
          <w:noProof/>
        </w:rPr>
        <w:t>(1), 016106. doi:10.1103/PhysRevE.84.016106</w:t>
      </w:r>
    </w:p>
    <w:p w14:paraId="4FBA8A8C" w14:textId="77777777" w:rsidR="00FD075D" w:rsidRDefault="00FD075D" w:rsidP="00FD075D">
      <w:pPr>
        <w:pStyle w:val="Kaynaka"/>
        <w:ind w:left="720" w:hanging="720"/>
        <w:rPr>
          <w:noProof/>
        </w:rPr>
      </w:pPr>
      <w:r>
        <w:rPr>
          <w:noProof/>
        </w:rPr>
        <w:t xml:space="preserve">Kahraman, E., &amp; Ünal, G. (2016). Multiple Wavelet Coherency Analysis and Forecasting of Metal Prices. </w:t>
      </w:r>
      <w:r>
        <w:rPr>
          <w:i/>
          <w:iCs/>
          <w:noProof/>
        </w:rPr>
        <w:t>arXiv preprint arXiv:1602.01960</w:t>
      </w:r>
      <w:r>
        <w:rPr>
          <w:noProof/>
        </w:rPr>
        <w:t>.</w:t>
      </w:r>
    </w:p>
    <w:p w14:paraId="42620862" w14:textId="77777777" w:rsidR="00FD075D" w:rsidRDefault="00FD075D" w:rsidP="00FD075D">
      <w:pPr>
        <w:pStyle w:val="Kaynaka"/>
        <w:ind w:left="720" w:hanging="720"/>
        <w:rPr>
          <w:noProof/>
        </w:rPr>
      </w:pPr>
      <w:r w:rsidRPr="006B75E8">
        <w:rPr>
          <w:noProof/>
          <w:lang w:val="de-DE"/>
        </w:rPr>
        <w:lastRenderedPageBreak/>
        <w:t xml:space="preserve">Kantelhardt, Jan W.; Zschiegner, Stephan A.; Koscielny-Bunde, Eva; Havlin, Shlomo; Bunde, Armin; Stanley, H. Eugene. </w:t>
      </w:r>
      <w:r>
        <w:rPr>
          <w:noProof/>
        </w:rPr>
        <w:t xml:space="preserve">(2002). Multifractal detrended fluctuation analysis of nonstationary time series. </w:t>
      </w:r>
      <w:r>
        <w:rPr>
          <w:i/>
          <w:iCs/>
          <w:noProof/>
        </w:rPr>
        <w:t>Physica A: Statistical Mechanics and its Applications, 316</w:t>
      </w:r>
      <w:r>
        <w:rPr>
          <w:noProof/>
        </w:rPr>
        <w:t>, 87–114.</w:t>
      </w:r>
    </w:p>
    <w:p w14:paraId="45E8642E" w14:textId="77777777" w:rsidR="00FD075D" w:rsidRDefault="00FD075D" w:rsidP="00FD075D">
      <w:pPr>
        <w:pStyle w:val="Kaynaka"/>
        <w:ind w:left="720" w:hanging="720"/>
        <w:rPr>
          <w:noProof/>
        </w:rPr>
      </w:pPr>
      <w:r>
        <w:rPr>
          <w:noProof/>
        </w:rPr>
        <w:t xml:space="preserve">Katechos, G. (2011). On the relationship between exchange rates and equity returns: A new approach. </w:t>
      </w:r>
      <w:r>
        <w:rPr>
          <w:i/>
          <w:iCs/>
          <w:noProof/>
        </w:rPr>
        <w:t>Journal of International Financial Markets, Institutions and Money, 21</w:t>
      </w:r>
      <w:r>
        <w:rPr>
          <w:noProof/>
        </w:rPr>
        <w:t>, 550–559.</w:t>
      </w:r>
    </w:p>
    <w:p w14:paraId="7F58049C" w14:textId="77777777" w:rsidR="00FD075D" w:rsidRDefault="00FD075D" w:rsidP="00FD075D">
      <w:pPr>
        <w:pStyle w:val="Kaynaka"/>
        <w:ind w:left="720" w:hanging="720"/>
        <w:rPr>
          <w:noProof/>
        </w:rPr>
      </w:pPr>
      <w:r>
        <w:rPr>
          <w:noProof/>
        </w:rPr>
        <w:t xml:space="preserve">Kuperin, Y. A., &amp; Morozova, M. M. (2010, 8). </w:t>
      </w:r>
      <w:r>
        <w:rPr>
          <w:i/>
          <w:iCs/>
          <w:noProof/>
        </w:rPr>
        <w:t>Statistical and Multifractal Properties of the Time Series Generated by a Modified Minority Game.</w:t>
      </w:r>
      <w:r>
        <w:rPr>
          <w:noProof/>
        </w:rPr>
        <w:t xml:space="preserve"> Papers, arXiv.org. Retrieved from https://arxiv.org/abs/1008.3840</w:t>
      </w:r>
    </w:p>
    <w:p w14:paraId="6EB5D4F2" w14:textId="77777777" w:rsidR="00FD075D" w:rsidRDefault="00FD075D" w:rsidP="00FD075D">
      <w:pPr>
        <w:pStyle w:val="Kaynaka"/>
        <w:ind w:left="720" w:hanging="720"/>
        <w:rPr>
          <w:noProof/>
        </w:rPr>
      </w:pPr>
      <w:r>
        <w:rPr>
          <w:noProof/>
        </w:rPr>
        <w:t xml:space="preserve">Kuperin, Yu A.; Schastlivtsev, R. R. (2008, 2). </w:t>
      </w:r>
      <w:r>
        <w:rPr>
          <w:i/>
          <w:iCs/>
          <w:noProof/>
        </w:rPr>
        <w:t>Multifractal Analysis and Local Hoelder Exponents Approach to Detecting Stock Markets Crashes.</w:t>
      </w:r>
      <w:r>
        <w:rPr>
          <w:noProof/>
        </w:rPr>
        <w:t xml:space="preserve"> Papers, arXiv.org. Retrieved from https://arxiv.org/abs/0802.4460</w:t>
      </w:r>
    </w:p>
    <w:p w14:paraId="50B746EB" w14:textId="6FF49C28" w:rsidR="00FD075D" w:rsidRDefault="00FD075D" w:rsidP="00FD075D">
      <w:pPr>
        <w:pStyle w:val="Kaynaka"/>
        <w:ind w:left="720" w:hanging="720"/>
        <w:rPr>
          <w:noProof/>
        </w:rPr>
      </w:pPr>
      <w:r>
        <w:rPr>
          <w:noProof/>
        </w:rPr>
        <w:t>Lin, C.-H. (2012). The co</w:t>
      </w:r>
      <w:r w:rsidR="00856C2D">
        <w:rPr>
          <w:noProof/>
        </w:rPr>
        <w:t>-</w:t>
      </w:r>
      <w:r>
        <w:rPr>
          <w:noProof/>
        </w:rPr>
        <w:t xml:space="preserve">movement between exchange rates and stock prices in the Asian emerging markets. </w:t>
      </w:r>
      <w:r>
        <w:rPr>
          <w:i/>
          <w:iCs/>
          <w:noProof/>
        </w:rPr>
        <w:t>International Review of Economics &amp; Finance, 22</w:t>
      </w:r>
      <w:r>
        <w:rPr>
          <w:noProof/>
        </w:rPr>
        <w:t>, 161–172.</w:t>
      </w:r>
    </w:p>
    <w:p w14:paraId="22287AB7" w14:textId="77777777" w:rsidR="00FD075D" w:rsidRDefault="00FD075D" w:rsidP="00FD075D">
      <w:pPr>
        <w:pStyle w:val="Kaynaka"/>
        <w:ind w:left="720" w:hanging="720"/>
        <w:rPr>
          <w:noProof/>
        </w:rPr>
      </w:pPr>
      <w:r>
        <w:rPr>
          <w:noProof/>
        </w:rPr>
        <w:t xml:space="preserve">Lütkepohl, H., &amp; Poskitt, D. S. (1996). Specification of echelon-form VARMA models. </w:t>
      </w:r>
      <w:r>
        <w:rPr>
          <w:i/>
          <w:iCs/>
          <w:noProof/>
        </w:rPr>
        <w:t>Journal of Business &amp; Economic Statistics, 14</w:t>
      </w:r>
      <w:r>
        <w:rPr>
          <w:noProof/>
        </w:rPr>
        <w:t>, 69–79.</w:t>
      </w:r>
    </w:p>
    <w:p w14:paraId="05F8940D" w14:textId="77777777" w:rsidR="00FD075D" w:rsidRDefault="00FD075D" w:rsidP="00FD075D">
      <w:pPr>
        <w:pStyle w:val="Kaynaka"/>
        <w:ind w:left="720" w:hanging="720"/>
        <w:rPr>
          <w:noProof/>
        </w:rPr>
      </w:pPr>
      <w:r>
        <w:rPr>
          <w:noProof/>
        </w:rPr>
        <w:t xml:space="preserve">Mandelbrot, B. B. (1997). The variation of certain speculative prices. In </w:t>
      </w:r>
      <w:r>
        <w:rPr>
          <w:i/>
          <w:iCs/>
          <w:noProof/>
        </w:rPr>
        <w:t>Fractals and scaling in finance</w:t>
      </w:r>
      <w:r>
        <w:rPr>
          <w:noProof/>
        </w:rPr>
        <w:t xml:space="preserve"> (pp. 371–418). Springer.</w:t>
      </w:r>
    </w:p>
    <w:p w14:paraId="2C547AD6" w14:textId="77777777" w:rsidR="00FD075D" w:rsidRDefault="00FD075D" w:rsidP="00FD075D">
      <w:pPr>
        <w:pStyle w:val="Kaynaka"/>
        <w:ind w:left="720" w:hanging="720"/>
        <w:rPr>
          <w:noProof/>
        </w:rPr>
      </w:pPr>
      <w:r>
        <w:rPr>
          <w:noProof/>
        </w:rPr>
        <w:t xml:space="preserve">Maraun, D., &amp; Kurths, J. (2004). Cross wavelet analysis: significance testing and pitfalls. </w:t>
      </w:r>
      <w:r>
        <w:rPr>
          <w:i/>
          <w:iCs/>
          <w:noProof/>
        </w:rPr>
        <w:t>Nonlinear Processes in Geophysics, 11</w:t>
      </w:r>
      <w:r>
        <w:rPr>
          <w:noProof/>
        </w:rPr>
        <w:t>, 505–514.</w:t>
      </w:r>
    </w:p>
    <w:p w14:paraId="3FF91B7D" w14:textId="77777777" w:rsidR="00FD075D" w:rsidRDefault="00FD075D" w:rsidP="00FD075D">
      <w:pPr>
        <w:pStyle w:val="Kaynaka"/>
        <w:ind w:left="720" w:hanging="720"/>
        <w:rPr>
          <w:noProof/>
        </w:rPr>
      </w:pPr>
      <w:r>
        <w:rPr>
          <w:noProof/>
        </w:rPr>
        <w:lastRenderedPageBreak/>
        <w:t xml:space="preserve">Matia, Kaushik; Ashkenazy, Yosef; Stanley, H. Eugene. (2003). Multifractal properties of price fluctuations of stocks and commodities. </w:t>
      </w:r>
      <w:r>
        <w:rPr>
          <w:i/>
          <w:iCs/>
          <w:noProof/>
        </w:rPr>
        <w:t>EPL (Europhysics Letters), 61</w:t>
      </w:r>
      <w:r>
        <w:rPr>
          <w:noProof/>
        </w:rPr>
        <w:t>, 422.</w:t>
      </w:r>
    </w:p>
    <w:p w14:paraId="52A069A5" w14:textId="77777777" w:rsidR="00FD075D" w:rsidRDefault="00FD075D" w:rsidP="00FD075D">
      <w:pPr>
        <w:pStyle w:val="Kaynaka"/>
        <w:ind w:left="720" w:hanging="720"/>
        <w:rPr>
          <w:noProof/>
        </w:rPr>
      </w:pPr>
      <w:r>
        <w:rPr>
          <w:noProof/>
        </w:rPr>
        <w:t xml:space="preserve">Mihanović, H., Orlić, M., &amp; Pasarić, Z. (2009). Diurnal thermocline oscillations driven by tidal flow around an island in the Middle Adriatic. </w:t>
      </w:r>
      <w:r>
        <w:rPr>
          <w:i/>
          <w:iCs/>
          <w:noProof/>
        </w:rPr>
        <w:t>Journal of Marine Systems, 78</w:t>
      </w:r>
      <w:r>
        <w:rPr>
          <w:noProof/>
        </w:rPr>
        <w:t>, S157–S168.</w:t>
      </w:r>
    </w:p>
    <w:p w14:paraId="6F01B39C" w14:textId="77777777" w:rsidR="00FD075D" w:rsidRDefault="00FD075D" w:rsidP="00FD075D">
      <w:pPr>
        <w:pStyle w:val="Kaynaka"/>
        <w:ind w:left="720" w:hanging="720"/>
        <w:rPr>
          <w:noProof/>
        </w:rPr>
      </w:pPr>
      <w:r>
        <w:rPr>
          <w:noProof/>
        </w:rPr>
        <w:t xml:space="preserve">Mok, H. M. (1993). Causality of interest rate, exchange rate and stock prices at stock market open and close in Hong Kong. </w:t>
      </w:r>
      <w:r>
        <w:rPr>
          <w:i/>
          <w:iCs/>
          <w:noProof/>
        </w:rPr>
        <w:t>Asia Pacific Journal of Management, 10</w:t>
      </w:r>
      <w:r>
        <w:rPr>
          <w:noProof/>
        </w:rPr>
        <w:t>, 123–143.</w:t>
      </w:r>
    </w:p>
    <w:p w14:paraId="2F544B41" w14:textId="77777777" w:rsidR="00FD075D" w:rsidRDefault="00FD075D" w:rsidP="00FD075D">
      <w:pPr>
        <w:pStyle w:val="Kaynaka"/>
        <w:ind w:left="720" w:hanging="720"/>
        <w:rPr>
          <w:noProof/>
        </w:rPr>
      </w:pPr>
      <w:r>
        <w:rPr>
          <w:noProof/>
        </w:rPr>
        <w:t xml:space="preserve">Nath, G. C., &amp; Samanta, G. P. (2003). Relationship between Exchange Rate and Stock Prices in India-An Empirical Analysis. </w:t>
      </w:r>
      <w:r>
        <w:rPr>
          <w:i/>
          <w:iCs/>
          <w:noProof/>
        </w:rPr>
        <w:t>Available at SSRN 475823</w:t>
      </w:r>
      <w:r>
        <w:rPr>
          <w:noProof/>
        </w:rPr>
        <w:t>.</w:t>
      </w:r>
    </w:p>
    <w:p w14:paraId="4FD7BF86" w14:textId="77777777" w:rsidR="00FD075D" w:rsidRDefault="00FD075D" w:rsidP="00FD075D">
      <w:pPr>
        <w:pStyle w:val="Kaynaka"/>
        <w:ind w:left="720" w:hanging="720"/>
        <w:rPr>
          <w:noProof/>
        </w:rPr>
      </w:pPr>
      <w:r>
        <w:rPr>
          <w:noProof/>
        </w:rPr>
        <w:t xml:space="preserve">Ng, E. K., &amp; Chan, J. C. (2012). Geophysical applications of partial wavelet coherence and multiple wavelet coherence. </w:t>
      </w:r>
      <w:r>
        <w:rPr>
          <w:i/>
          <w:iCs/>
          <w:noProof/>
        </w:rPr>
        <w:t>Journal of Atmospheric and Oceanic Technology, 29</w:t>
      </w:r>
      <w:r>
        <w:rPr>
          <w:noProof/>
        </w:rPr>
        <w:t>, 1845–1853.</w:t>
      </w:r>
    </w:p>
    <w:p w14:paraId="22DB5963" w14:textId="77777777" w:rsidR="00FD075D" w:rsidRDefault="00FD075D" w:rsidP="00FD075D">
      <w:pPr>
        <w:pStyle w:val="Kaynaka"/>
        <w:ind w:left="720" w:hanging="720"/>
        <w:rPr>
          <w:noProof/>
        </w:rPr>
      </w:pPr>
      <w:r>
        <w:rPr>
          <w:noProof/>
        </w:rPr>
        <w:t xml:space="preserve">Oygur, Tunc; Unal, Gazanfer. (2017). Evidence of Large Fluctuations of Stock Return and Financial Crises from Turkey: Using Wavelet Coherency and Varma Modeling to Forecast Stock Return. </w:t>
      </w:r>
      <w:r>
        <w:rPr>
          <w:i/>
          <w:iCs/>
          <w:noProof/>
        </w:rPr>
        <w:t>Fluctuation and Noise Letters, 16</w:t>
      </w:r>
      <w:r>
        <w:rPr>
          <w:noProof/>
        </w:rPr>
        <w:t>, 1750020. doi:10.1142/S0219477517500201</w:t>
      </w:r>
    </w:p>
    <w:p w14:paraId="5400FF68" w14:textId="77777777" w:rsidR="00FD075D" w:rsidRDefault="00FD075D" w:rsidP="00FD075D">
      <w:pPr>
        <w:pStyle w:val="Kaynaka"/>
        <w:ind w:left="720" w:hanging="720"/>
        <w:rPr>
          <w:noProof/>
        </w:rPr>
      </w:pPr>
      <w:r>
        <w:rPr>
          <w:noProof/>
        </w:rPr>
        <w:t xml:space="preserve">Oygur, Tunc; Unal, Gazanfer. (2020). Traces of the Multifractal Nature of the Financial Crises in Turkey: Co-Movement of the Hölder Exponents and Large-Scale Forecast. </w:t>
      </w:r>
      <w:r>
        <w:rPr>
          <w:i/>
          <w:iCs/>
          <w:noProof/>
        </w:rPr>
        <w:t>Fluctuation and Noise Letters</w:t>
      </w:r>
      <w:r>
        <w:rPr>
          <w:noProof/>
        </w:rPr>
        <w:t>, 2050029. doi:10.1142/S0219477520500297</w:t>
      </w:r>
    </w:p>
    <w:p w14:paraId="45532DD2" w14:textId="77777777" w:rsidR="00FD075D" w:rsidRDefault="00FD075D" w:rsidP="00FD075D">
      <w:pPr>
        <w:pStyle w:val="Kaynaka"/>
        <w:ind w:left="720" w:hanging="720"/>
        <w:rPr>
          <w:noProof/>
        </w:rPr>
      </w:pPr>
      <w:r>
        <w:rPr>
          <w:noProof/>
        </w:rPr>
        <w:lastRenderedPageBreak/>
        <w:t xml:space="preserve">Peters, Edgar E.; Peters, Donada. (1994). </w:t>
      </w:r>
      <w:r>
        <w:rPr>
          <w:i/>
          <w:iCs/>
          <w:noProof/>
        </w:rPr>
        <w:t>Fractal market analysis: applying chaos theory to investment and economics</w:t>
      </w:r>
      <w:r>
        <w:rPr>
          <w:noProof/>
        </w:rPr>
        <w:t xml:space="preserve"> (Vol. 24). John Wiley &amp; Sons.</w:t>
      </w:r>
    </w:p>
    <w:p w14:paraId="2311A07E" w14:textId="77777777" w:rsidR="00FD075D" w:rsidRDefault="00FD075D" w:rsidP="00FD075D">
      <w:pPr>
        <w:pStyle w:val="Kaynaka"/>
        <w:ind w:left="720" w:hanging="720"/>
        <w:rPr>
          <w:noProof/>
        </w:rPr>
      </w:pPr>
      <w:r>
        <w:rPr>
          <w:noProof/>
        </w:rPr>
        <w:t xml:space="preserve">Phylaktis, K., &amp; Ravazzolo, F. (2005). Stock prices and exchange rate dynamics. </w:t>
      </w:r>
      <w:r>
        <w:rPr>
          <w:i/>
          <w:iCs/>
          <w:noProof/>
        </w:rPr>
        <w:t>Journal of International Money and Finance, 24</w:t>
      </w:r>
      <w:r>
        <w:rPr>
          <w:noProof/>
        </w:rPr>
        <w:t>, 1031–1053.</w:t>
      </w:r>
    </w:p>
    <w:p w14:paraId="7646B505" w14:textId="77777777" w:rsidR="00FD075D" w:rsidRDefault="00FD075D" w:rsidP="00FD075D">
      <w:pPr>
        <w:pStyle w:val="Kaynaka"/>
        <w:ind w:left="720" w:hanging="720"/>
        <w:rPr>
          <w:noProof/>
        </w:rPr>
      </w:pPr>
      <w:r>
        <w:rPr>
          <w:noProof/>
        </w:rPr>
        <w:t xml:space="preserve">Pirovano, M. (2012). Monetary policy and stock prices in small open economies: Empirical evidence for the new EU member states. </w:t>
      </w:r>
      <w:r>
        <w:rPr>
          <w:i/>
          <w:iCs/>
          <w:noProof/>
        </w:rPr>
        <w:t>Economic Systems, 36</w:t>
      </w:r>
      <w:r>
        <w:rPr>
          <w:noProof/>
        </w:rPr>
        <w:t>, 372–390.</w:t>
      </w:r>
    </w:p>
    <w:p w14:paraId="119B8A50" w14:textId="77777777" w:rsidR="00FD075D" w:rsidRDefault="00FD075D" w:rsidP="00FD075D">
      <w:pPr>
        <w:pStyle w:val="Kaynaka"/>
        <w:ind w:left="720" w:hanging="720"/>
        <w:rPr>
          <w:noProof/>
        </w:rPr>
      </w:pPr>
      <w:r>
        <w:rPr>
          <w:noProof/>
        </w:rPr>
        <w:t xml:space="preserve">Podobnik, B., Grosse, I., Horvatić, D., Ilic, S., Ivanov, P. C., &amp; Stanley, H. E. (2009). Quantifying cross-correlations using local and global detrending approaches. </w:t>
      </w:r>
      <w:r>
        <w:rPr>
          <w:i/>
          <w:iCs/>
          <w:noProof/>
        </w:rPr>
        <w:t>The European Physical Journal B, 71</w:t>
      </w:r>
      <w:r>
        <w:rPr>
          <w:noProof/>
        </w:rPr>
        <w:t>, 243. doi:"https://doi.org/10.1140/epjb/e2009-00310-5"</w:t>
      </w:r>
    </w:p>
    <w:p w14:paraId="1715DE88" w14:textId="77777777" w:rsidR="00FD075D" w:rsidRDefault="00FD075D" w:rsidP="00FD075D">
      <w:pPr>
        <w:pStyle w:val="Kaynaka"/>
        <w:ind w:left="720" w:hanging="720"/>
        <w:rPr>
          <w:noProof/>
        </w:rPr>
      </w:pPr>
      <w:r w:rsidRPr="006B75E8">
        <w:rPr>
          <w:noProof/>
          <w:lang w:val="de-DE"/>
        </w:rPr>
        <w:t xml:space="preserve">Reinhart, C. M., &amp; Rogoff, K. S. (2009). </w:t>
      </w:r>
      <w:r>
        <w:rPr>
          <w:i/>
          <w:iCs/>
          <w:noProof/>
        </w:rPr>
        <w:t>This time is different: eight centuries of financial folly.</w:t>
      </w:r>
      <w:r>
        <w:rPr>
          <w:noProof/>
        </w:rPr>
        <w:t xml:space="preserve"> princeton university press.</w:t>
      </w:r>
    </w:p>
    <w:p w14:paraId="3D06B51D" w14:textId="77777777" w:rsidR="00FD075D" w:rsidRDefault="00FD075D" w:rsidP="00FD075D">
      <w:pPr>
        <w:pStyle w:val="Kaynaka"/>
        <w:ind w:left="720" w:hanging="720"/>
        <w:rPr>
          <w:noProof/>
        </w:rPr>
      </w:pPr>
      <w:r>
        <w:rPr>
          <w:noProof/>
        </w:rPr>
        <w:t xml:space="preserve">Simionescu, M. (2014). The accuracy assessment of macroeconomic forecasts based on econometric models for Romania. </w:t>
      </w:r>
      <w:r>
        <w:rPr>
          <w:i/>
          <w:iCs/>
          <w:noProof/>
        </w:rPr>
        <w:t>Procedia Economics and Finance, 8</w:t>
      </w:r>
      <w:r>
        <w:rPr>
          <w:noProof/>
        </w:rPr>
        <w:t>, 671–677.</w:t>
      </w:r>
    </w:p>
    <w:p w14:paraId="455EEBBB" w14:textId="77777777" w:rsidR="00FD075D" w:rsidRDefault="00FD075D" w:rsidP="00FD075D">
      <w:pPr>
        <w:pStyle w:val="Kaynaka"/>
        <w:ind w:left="720" w:hanging="720"/>
        <w:rPr>
          <w:noProof/>
        </w:rPr>
      </w:pPr>
      <w:r>
        <w:rPr>
          <w:noProof/>
        </w:rPr>
        <w:t xml:space="preserve">Tang, Junjun; Wang, Jing; Huang, Cheng; Wang, Guolun; Wang, Xiong. (2008). Subprime mortgage crisis detection in US foreign exchange rate market by multifractal analysis. </w:t>
      </w:r>
      <w:r>
        <w:rPr>
          <w:i/>
          <w:iCs/>
          <w:noProof/>
        </w:rPr>
        <w:t>Young Computer Scientists, 2008. ICYCS 2008. The 9th International Conference for</w:t>
      </w:r>
      <w:r>
        <w:rPr>
          <w:noProof/>
        </w:rPr>
        <w:t>, (pp. 2999–3004).</w:t>
      </w:r>
    </w:p>
    <w:p w14:paraId="658648BC" w14:textId="77777777" w:rsidR="00FD075D" w:rsidRDefault="00FD075D" w:rsidP="00FD075D">
      <w:pPr>
        <w:pStyle w:val="Kaynaka"/>
        <w:ind w:left="720" w:hanging="720"/>
        <w:rPr>
          <w:noProof/>
        </w:rPr>
      </w:pPr>
      <w:r>
        <w:rPr>
          <w:noProof/>
        </w:rPr>
        <w:t xml:space="preserve">Torrence, C., &amp; Webster, P. J. (1999). Interdecadal changes in the ENSO-monsoon system. </w:t>
      </w:r>
      <w:r>
        <w:rPr>
          <w:i/>
          <w:iCs/>
          <w:noProof/>
        </w:rPr>
        <w:t>Journal of Climate, 12</w:t>
      </w:r>
      <w:r>
        <w:rPr>
          <w:noProof/>
        </w:rPr>
        <w:t>, 2679–2690.</w:t>
      </w:r>
    </w:p>
    <w:p w14:paraId="6BA15266" w14:textId="77777777" w:rsidR="00FD075D" w:rsidRDefault="00FD075D" w:rsidP="00FD075D">
      <w:pPr>
        <w:pStyle w:val="Kaynaka"/>
        <w:ind w:left="720" w:hanging="720"/>
        <w:rPr>
          <w:noProof/>
        </w:rPr>
      </w:pPr>
      <w:r>
        <w:rPr>
          <w:noProof/>
        </w:rPr>
        <w:t xml:space="preserve">Torrence, Christopher; Compo, Gilbert P. (1998). A practical guide to wavelet analysis. </w:t>
      </w:r>
      <w:r>
        <w:rPr>
          <w:i/>
          <w:iCs/>
          <w:noProof/>
        </w:rPr>
        <w:t>Bulletin of the American Meteorological society, 79</w:t>
      </w:r>
      <w:r>
        <w:rPr>
          <w:noProof/>
        </w:rPr>
        <w:t>, 61–78.</w:t>
      </w:r>
    </w:p>
    <w:p w14:paraId="26E307CB" w14:textId="77777777" w:rsidR="00FD075D" w:rsidRDefault="00FD075D" w:rsidP="00FD075D">
      <w:pPr>
        <w:pStyle w:val="Kaynaka"/>
        <w:ind w:left="720" w:hanging="720"/>
        <w:rPr>
          <w:noProof/>
        </w:rPr>
      </w:pPr>
      <w:r>
        <w:rPr>
          <w:noProof/>
        </w:rPr>
        <w:lastRenderedPageBreak/>
        <w:t xml:space="preserve">Tsai, I.-C. (2012). The relationship between stock price index and exchange rate in Asian markets: A quantile regression approach. </w:t>
      </w:r>
      <w:r>
        <w:rPr>
          <w:i/>
          <w:iCs/>
          <w:noProof/>
        </w:rPr>
        <w:t>Journal of International Financial Markets, Institutions and Money, 22</w:t>
      </w:r>
      <w:r>
        <w:rPr>
          <w:noProof/>
        </w:rPr>
        <w:t>, 609–621.</w:t>
      </w:r>
    </w:p>
    <w:p w14:paraId="6EAED095" w14:textId="77777777" w:rsidR="00FD075D" w:rsidRDefault="00FD075D" w:rsidP="00FD075D">
      <w:pPr>
        <w:pStyle w:val="Kaynaka"/>
        <w:ind w:left="720" w:hanging="720"/>
        <w:rPr>
          <w:noProof/>
        </w:rPr>
      </w:pPr>
      <w:r>
        <w:rPr>
          <w:noProof/>
        </w:rPr>
        <w:t xml:space="preserve">Tsay, R. S. (2013). </w:t>
      </w:r>
      <w:r>
        <w:rPr>
          <w:i/>
          <w:iCs/>
          <w:noProof/>
        </w:rPr>
        <w:t>Multivariate time series analysis: with R and financial applications.</w:t>
      </w:r>
      <w:r>
        <w:rPr>
          <w:noProof/>
        </w:rPr>
        <w:t xml:space="preserve"> John Wiley &amp; Sons.</w:t>
      </w:r>
    </w:p>
    <w:p w14:paraId="4384DC2A" w14:textId="77777777" w:rsidR="00FD075D" w:rsidRDefault="00FD075D" w:rsidP="00FD075D">
      <w:pPr>
        <w:pStyle w:val="Kaynaka"/>
        <w:ind w:left="720" w:hanging="720"/>
        <w:rPr>
          <w:noProof/>
        </w:rPr>
      </w:pPr>
      <w:r>
        <w:rPr>
          <w:noProof/>
        </w:rPr>
        <w:t xml:space="preserve">Véhel, J. L., &amp; Legrand, P. (2004). Signal and Image processing with FracLab. In </w:t>
      </w:r>
      <w:r>
        <w:rPr>
          <w:i/>
          <w:iCs/>
          <w:noProof/>
        </w:rPr>
        <w:t>Thinking in Patterns</w:t>
      </w:r>
      <w:r>
        <w:rPr>
          <w:noProof/>
        </w:rPr>
        <w:t xml:space="preserve"> (pp. 321–322). World Scientific.</w:t>
      </w:r>
    </w:p>
    <w:p w14:paraId="5AFF10CC" w14:textId="77777777" w:rsidR="00FD075D" w:rsidRDefault="00FD075D" w:rsidP="00FD075D">
      <w:pPr>
        <w:pStyle w:val="Kaynaka"/>
        <w:ind w:left="720" w:hanging="720"/>
        <w:rPr>
          <w:noProof/>
        </w:rPr>
      </w:pPr>
      <w:r>
        <w:rPr>
          <w:noProof/>
        </w:rPr>
        <w:t xml:space="preserve">Walid, C., Chaker, A., Masood, O., &amp; Fry, J. (2011). Stock market volatility and exchange rates in emerging countries: A Markov-state switching approach. </w:t>
      </w:r>
      <w:r>
        <w:rPr>
          <w:i/>
          <w:iCs/>
          <w:noProof/>
        </w:rPr>
        <w:t>Emerging Markets Review, 12</w:t>
      </w:r>
      <w:r>
        <w:rPr>
          <w:noProof/>
        </w:rPr>
        <w:t>, 272–292.</w:t>
      </w:r>
    </w:p>
    <w:p w14:paraId="06343E46" w14:textId="77777777" w:rsidR="00FD075D" w:rsidRDefault="00FD075D" w:rsidP="00FD075D">
      <w:pPr>
        <w:pStyle w:val="Kaynaka"/>
        <w:ind w:left="720" w:hanging="720"/>
        <w:rPr>
          <w:noProof/>
        </w:rPr>
      </w:pPr>
      <w:r>
        <w:rPr>
          <w:noProof/>
        </w:rPr>
        <w:t xml:space="preserve">Wang, Yudong; Wei, Yu; Wu, Chongfeng. (2010). Cross-correlations between Chinese A-share and B-share markets. </w:t>
      </w:r>
      <w:r>
        <w:rPr>
          <w:i/>
          <w:iCs/>
          <w:noProof/>
        </w:rPr>
        <w:t>Physica A: Statistical Mechanics and its Applications, 389</w:t>
      </w:r>
      <w:r>
        <w:rPr>
          <w:noProof/>
        </w:rPr>
        <w:t>, 5468-5478. doi:https://doi.org/10.1016/j.physa.2010.08.029</w:t>
      </w:r>
    </w:p>
    <w:p w14:paraId="1D45C6F1" w14:textId="77777777" w:rsidR="00FD075D" w:rsidRDefault="00FD075D" w:rsidP="00FD075D">
      <w:pPr>
        <w:pStyle w:val="Kaynaka"/>
        <w:ind w:left="720" w:hanging="720"/>
        <w:rPr>
          <w:noProof/>
        </w:rPr>
      </w:pPr>
      <w:r w:rsidRPr="006B75E8">
        <w:rPr>
          <w:noProof/>
          <w:lang w:val="de-DE"/>
        </w:rPr>
        <w:t xml:space="preserve">Zhang, W., Wang, P., Li, X., &amp; Shen, D. (2018). </w:t>
      </w:r>
      <w:r>
        <w:rPr>
          <w:noProof/>
        </w:rPr>
        <w:t xml:space="preserve">Quantifying the cross-correlations between online searches and Bitcoin market. </w:t>
      </w:r>
      <w:r>
        <w:rPr>
          <w:i/>
          <w:iCs/>
          <w:noProof/>
        </w:rPr>
        <w:t>Physica A: Statistical Mechanics and its Applications, 509</w:t>
      </w:r>
      <w:r>
        <w:rPr>
          <w:noProof/>
        </w:rPr>
        <w:t>, 657-672. doi:10.1016/j.physa.2018.06.0</w:t>
      </w:r>
    </w:p>
    <w:p w14:paraId="18EDD848" w14:textId="77777777" w:rsidR="00FD075D" w:rsidRDefault="00FD075D" w:rsidP="00FD075D">
      <w:pPr>
        <w:pStyle w:val="Kaynaka"/>
        <w:ind w:left="720" w:hanging="720"/>
        <w:rPr>
          <w:noProof/>
        </w:rPr>
      </w:pPr>
      <w:r>
        <w:rPr>
          <w:noProof/>
        </w:rPr>
        <w:t xml:space="preserve">Zhao, H. (2010). Dynamic relationship between exchange rate and stock price: Evidence from China. </w:t>
      </w:r>
      <w:r>
        <w:rPr>
          <w:i/>
          <w:iCs/>
          <w:noProof/>
        </w:rPr>
        <w:t>Research in International Business and Finance, 24</w:t>
      </w:r>
      <w:r>
        <w:rPr>
          <w:noProof/>
        </w:rPr>
        <w:t>, 103–112.</w:t>
      </w:r>
    </w:p>
    <w:p w14:paraId="778EF5A1" w14:textId="77777777" w:rsidR="00FD075D" w:rsidRDefault="00FD075D" w:rsidP="00FD075D">
      <w:pPr>
        <w:pStyle w:val="Kaynaka"/>
        <w:ind w:left="720" w:hanging="720"/>
        <w:rPr>
          <w:noProof/>
        </w:rPr>
      </w:pPr>
      <w:r>
        <w:rPr>
          <w:noProof/>
        </w:rPr>
        <w:t xml:space="preserve">Zhou, Wei-Xing. (2008, 6). Multifractal detrended cross-correlation analysis for two nonstationary signals. </w:t>
      </w:r>
      <w:r>
        <w:rPr>
          <w:i/>
          <w:iCs/>
          <w:noProof/>
        </w:rPr>
        <w:t>Phys. Rev. E, 77</w:t>
      </w:r>
      <w:r>
        <w:rPr>
          <w:noProof/>
        </w:rPr>
        <w:t>(6), 066211. doi:10.1103/PhysRevE.77.066211</w:t>
      </w:r>
    </w:p>
    <w:p w14:paraId="1975289C" w14:textId="4A89B13C" w:rsidR="00F01961" w:rsidRPr="00F01961" w:rsidRDefault="00F01961">
      <w:pPr>
        <w:rPr>
          <w:rFonts w:ascii="Times New Roman" w:hAnsi="Times New Roman" w:cs="Times New Roman"/>
        </w:rPr>
      </w:pPr>
    </w:p>
    <w:p w14:paraId="3AC231B3" w14:textId="77777777" w:rsidR="00EA1571" w:rsidRDefault="00EA1571">
      <w:pPr>
        <w:rPr>
          <w:rFonts w:ascii="Times New Roman" w:hAnsi="Times New Roman" w:cs="Times New Roman"/>
          <w:b/>
          <w:bCs/>
        </w:rPr>
      </w:pPr>
      <w:r>
        <w:rPr>
          <w:rFonts w:ascii="Times New Roman" w:hAnsi="Times New Roman" w:cs="Times New Roman"/>
          <w:b/>
          <w:bCs/>
        </w:rPr>
        <w:br w:type="page"/>
      </w:r>
    </w:p>
    <w:p w14:paraId="7891BC2E" w14:textId="099F2E5C" w:rsidR="00F01961" w:rsidRPr="00F01961" w:rsidRDefault="00F01961" w:rsidP="001550B3">
      <w:pPr>
        <w:spacing w:before="240" w:line="360" w:lineRule="auto"/>
        <w:jc w:val="both"/>
        <w:rPr>
          <w:rFonts w:ascii="Times New Roman" w:hAnsi="Times New Roman" w:cs="Times New Roman"/>
          <w:b/>
          <w:bCs/>
        </w:rPr>
      </w:pPr>
      <w:r w:rsidRPr="00F01961">
        <w:rPr>
          <w:rFonts w:ascii="Times New Roman" w:hAnsi="Times New Roman" w:cs="Times New Roman"/>
          <w:b/>
          <w:bCs/>
        </w:rPr>
        <w:lastRenderedPageBreak/>
        <w:t>TABLES</w:t>
      </w:r>
    </w:p>
    <w:p w14:paraId="32AFBA17" w14:textId="54EC1FFD" w:rsidR="00F01961" w:rsidRDefault="001550B3" w:rsidP="00F01961">
      <w:pPr>
        <w:pStyle w:val="IJCI-body-text"/>
        <w:spacing w:before="240" w:line="360" w:lineRule="auto"/>
        <w:ind w:firstLine="0"/>
        <w:rPr>
          <w:rFonts w:ascii="Times New Roman" w:hAnsi="Times New Roman"/>
          <w:bCs/>
          <w:iCs/>
          <w:sz w:val="24"/>
          <w:szCs w:val="24"/>
        </w:rPr>
      </w:pPr>
      <w:r w:rsidRPr="00F01961">
        <w:rPr>
          <w:rFonts w:ascii="Times New Roman" w:hAnsi="Times New Roman"/>
          <w:sz w:val="24"/>
          <w:szCs w:val="24"/>
        </w:rPr>
        <w:t xml:space="preserve"> </w:t>
      </w:r>
      <w:bookmarkStart w:id="1" w:name="_Toc51746323"/>
      <w:r w:rsidR="00F01961" w:rsidRPr="00F01961">
        <w:rPr>
          <w:rFonts w:ascii="Times New Roman" w:hAnsi="Times New Roman"/>
          <w:b/>
          <w:sz w:val="24"/>
          <w:szCs w:val="24"/>
        </w:rPr>
        <w:t xml:space="preserve">Table </w:t>
      </w:r>
      <w:r w:rsidR="00F01961" w:rsidRPr="00F01961">
        <w:rPr>
          <w:rFonts w:ascii="Times New Roman" w:hAnsi="Times New Roman"/>
          <w:b/>
          <w:sz w:val="24"/>
          <w:szCs w:val="24"/>
        </w:rPr>
        <w:fldChar w:fldCharType="begin"/>
      </w:r>
      <w:r w:rsidR="00F01961" w:rsidRPr="00F01961">
        <w:rPr>
          <w:rFonts w:ascii="Times New Roman" w:hAnsi="Times New Roman"/>
          <w:b/>
          <w:sz w:val="24"/>
          <w:szCs w:val="24"/>
        </w:rPr>
        <w:instrText xml:space="preserve"> SEQ Table \* ARABIC </w:instrText>
      </w:r>
      <w:r w:rsidR="00F01961" w:rsidRPr="00F01961">
        <w:rPr>
          <w:rFonts w:ascii="Times New Roman" w:hAnsi="Times New Roman"/>
          <w:b/>
          <w:sz w:val="24"/>
          <w:szCs w:val="24"/>
        </w:rPr>
        <w:fldChar w:fldCharType="separate"/>
      </w:r>
      <w:r w:rsidR="00F01961" w:rsidRPr="00F01961">
        <w:rPr>
          <w:rFonts w:ascii="Times New Roman" w:hAnsi="Times New Roman"/>
          <w:b/>
          <w:sz w:val="24"/>
          <w:szCs w:val="24"/>
        </w:rPr>
        <w:t>1</w:t>
      </w:r>
      <w:r w:rsidR="00F01961" w:rsidRPr="00F01961">
        <w:rPr>
          <w:rFonts w:ascii="Times New Roman" w:hAnsi="Times New Roman"/>
          <w:b/>
          <w:sz w:val="24"/>
          <w:szCs w:val="24"/>
        </w:rPr>
        <w:fldChar w:fldCharType="end"/>
      </w:r>
      <w:r w:rsidR="00F01961" w:rsidRPr="00F01961">
        <w:rPr>
          <w:rFonts w:ascii="Times New Roman" w:hAnsi="Times New Roman"/>
          <w:b/>
          <w:sz w:val="24"/>
          <w:szCs w:val="24"/>
        </w:rPr>
        <w:t>.</w:t>
      </w:r>
      <w:r w:rsidR="00F01961" w:rsidRPr="00F01961">
        <w:rPr>
          <w:rFonts w:ascii="Times New Roman" w:hAnsi="Times New Roman"/>
          <w:bCs/>
          <w:i/>
          <w:sz w:val="24"/>
          <w:szCs w:val="24"/>
        </w:rPr>
        <w:t xml:space="preserve"> </w:t>
      </w:r>
      <w:bookmarkEnd w:id="1"/>
      <w:r w:rsidR="006775C9" w:rsidRPr="006775C9">
        <w:rPr>
          <w:rFonts w:ascii="Times New Roman" w:hAnsi="Times New Roman"/>
          <w:bCs/>
          <w:iCs/>
          <w:sz w:val="24"/>
          <w:szCs w:val="24"/>
        </w:rPr>
        <w:t>Phase difference results.</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1357"/>
        <w:gridCol w:w="1359"/>
        <w:gridCol w:w="1349"/>
        <w:gridCol w:w="1359"/>
      </w:tblGrid>
      <w:tr w:rsidR="006775C9" w:rsidRPr="006775C9" w14:paraId="27EC295C" w14:textId="77777777" w:rsidTr="00B273E2">
        <w:tc>
          <w:tcPr>
            <w:tcW w:w="2307" w:type="dxa"/>
            <w:tcBorders>
              <w:top w:val="single" w:sz="4" w:space="0" w:color="auto"/>
              <w:bottom w:val="single" w:sz="4" w:space="0" w:color="auto"/>
            </w:tcBorders>
          </w:tcPr>
          <w:p w14:paraId="62BC5491" w14:textId="77777777" w:rsidR="006775C9" w:rsidRPr="006775C9" w:rsidRDefault="006775C9" w:rsidP="00B273E2">
            <w:pPr>
              <w:pStyle w:val="AralkYok"/>
              <w:rPr>
                <w:sz w:val="24"/>
                <w:szCs w:val="24"/>
              </w:rPr>
            </w:pPr>
          </w:p>
        </w:tc>
        <w:tc>
          <w:tcPr>
            <w:tcW w:w="2716" w:type="dxa"/>
            <w:gridSpan w:val="2"/>
            <w:tcBorders>
              <w:top w:val="single" w:sz="4" w:space="0" w:color="auto"/>
              <w:bottom w:val="single" w:sz="4" w:space="0" w:color="auto"/>
            </w:tcBorders>
          </w:tcPr>
          <w:p w14:paraId="6E052301" w14:textId="77777777" w:rsidR="006775C9" w:rsidRPr="006775C9" w:rsidRDefault="006775C9" w:rsidP="00B273E2">
            <w:pPr>
              <w:pStyle w:val="AralkYok"/>
              <w:jc w:val="center"/>
              <w:rPr>
                <w:sz w:val="24"/>
                <w:szCs w:val="24"/>
              </w:rPr>
            </w:pPr>
            <w:r w:rsidRPr="006775C9">
              <w:rPr>
                <w:sz w:val="24"/>
                <w:szCs w:val="24"/>
              </w:rPr>
              <w:t>1994</w:t>
            </w:r>
          </w:p>
        </w:tc>
        <w:tc>
          <w:tcPr>
            <w:tcW w:w="2708" w:type="dxa"/>
            <w:gridSpan w:val="2"/>
            <w:tcBorders>
              <w:top w:val="single" w:sz="4" w:space="0" w:color="auto"/>
              <w:bottom w:val="single" w:sz="4" w:space="0" w:color="auto"/>
            </w:tcBorders>
          </w:tcPr>
          <w:p w14:paraId="561CBF85" w14:textId="77777777" w:rsidR="006775C9" w:rsidRPr="006775C9" w:rsidRDefault="006775C9" w:rsidP="00B273E2">
            <w:pPr>
              <w:pStyle w:val="AralkYok"/>
              <w:jc w:val="center"/>
              <w:rPr>
                <w:sz w:val="24"/>
                <w:szCs w:val="24"/>
              </w:rPr>
            </w:pPr>
            <w:r w:rsidRPr="006775C9">
              <w:rPr>
                <w:sz w:val="24"/>
                <w:szCs w:val="24"/>
              </w:rPr>
              <w:t>2001</w:t>
            </w:r>
          </w:p>
        </w:tc>
      </w:tr>
      <w:tr w:rsidR="006775C9" w:rsidRPr="006775C9" w14:paraId="36C9BB72" w14:textId="77777777" w:rsidTr="00B273E2">
        <w:tc>
          <w:tcPr>
            <w:tcW w:w="2307" w:type="dxa"/>
            <w:tcBorders>
              <w:top w:val="single" w:sz="4" w:space="0" w:color="auto"/>
            </w:tcBorders>
          </w:tcPr>
          <w:p w14:paraId="29FB724F" w14:textId="77777777" w:rsidR="006775C9" w:rsidRPr="006775C9" w:rsidRDefault="006775C9" w:rsidP="00B273E2">
            <w:pPr>
              <w:pStyle w:val="AralkYok"/>
              <w:rPr>
                <w:sz w:val="24"/>
                <w:szCs w:val="24"/>
              </w:rPr>
            </w:pPr>
          </w:p>
        </w:tc>
        <w:tc>
          <w:tcPr>
            <w:tcW w:w="1357" w:type="dxa"/>
            <w:tcBorders>
              <w:top w:val="single" w:sz="4" w:space="0" w:color="auto"/>
            </w:tcBorders>
          </w:tcPr>
          <w:p w14:paraId="2E5D09E8" w14:textId="77777777" w:rsidR="006775C9" w:rsidRPr="006775C9" w:rsidRDefault="006775C9" w:rsidP="00B273E2">
            <w:pPr>
              <w:pStyle w:val="AralkYok"/>
              <w:jc w:val="center"/>
              <w:rPr>
                <w:sz w:val="24"/>
                <w:szCs w:val="24"/>
              </w:rPr>
            </w:pPr>
            <w:r w:rsidRPr="006775C9">
              <w:rPr>
                <w:sz w:val="24"/>
                <w:szCs w:val="24"/>
              </w:rPr>
              <w:t>XTC</w:t>
            </w:r>
          </w:p>
        </w:tc>
        <w:tc>
          <w:tcPr>
            <w:tcW w:w="1359" w:type="dxa"/>
            <w:tcBorders>
              <w:top w:val="single" w:sz="4" w:space="0" w:color="auto"/>
            </w:tcBorders>
          </w:tcPr>
          <w:p w14:paraId="4251CE84" w14:textId="77777777" w:rsidR="006775C9" w:rsidRPr="006775C9" w:rsidRDefault="006775C9" w:rsidP="00B273E2">
            <w:pPr>
              <w:pStyle w:val="AralkYok"/>
              <w:jc w:val="center"/>
              <w:rPr>
                <w:sz w:val="24"/>
                <w:szCs w:val="24"/>
              </w:rPr>
            </w:pPr>
            <w:r w:rsidRPr="006775C9">
              <w:rPr>
                <w:sz w:val="24"/>
                <w:szCs w:val="24"/>
              </w:rPr>
              <w:t>WCT</w:t>
            </w:r>
          </w:p>
        </w:tc>
        <w:tc>
          <w:tcPr>
            <w:tcW w:w="1349" w:type="dxa"/>
            <w:tcBorders>
              <w:top w:val="single" w:sz="4" w:space="0" w:color="auto"/>
            </w:tcBorders>
          </w:tcPr>
          <w:p w14:paraId="576C717F" w14:textId="77777777" w:rsidR="006775C9" w:rsidRPr="006775C9" w:rsidRDefault="006775C9" w:rsidP="00B273E2">
            <w:pPr>
              <w:pStyle w:val="AralkYok"/>
              <w:jc w:val="center"/>
              <w:rPr>
                <w:sz w:val="24"/>
                <w:szCs w:val="24"/>
              </w:rPr>
            </w:pPr>
            <w:r w:rsidRPr="006775C9">
              <w:rPr>
                <w:sz w:val="24"/>
                <w:szCs w:val="24"/>
              </w:rPr>
              <w:t>XTC</w:t>
            </w:r>
          </w:p>
        </w:tc>
        <w:tc>
          <w:tcPr>
            <w:tcW w:w="1359" w:type="dxa"/>
            <w:tcBorders>
              <w:top w:val="single" w:sz="4" w:space="0" w:color="auto"/>
            </w:tcBorders>
          </w:tcPr>
          <w:p w14:paraId="764B0347" w14:textId="77777777" w:rsidR="006775C9" w:rsidRPr="006775C9" w:rsidRDefault="006775C9" w:rsidP="00B273E2">
            <w:pPr>
              <w:pStyle w:val="AralkYok"/>
              <w:jc w:val="center"/>
              <w:rPr>
                <w:sz w:val="24"/>
                <w:szCs w:val="24"/>
              </w:rPr>
            </w:pPr>
            <w:r w:rsidRPr="006775C9">
              <w:rPr>
                <w:sz w:val="24"/>
                <w:szCs w:val="24"/>
              </w:rPr>
              <w:t>WTC</w:t>
            </w:r>
          </w:p>
        </w:tc>
      </w:tr>
      <w:tr w:rsidR="006775C9" w:rsidRPr="006775C9" w14:paraId="72D33F0E" w14:textId="77777777" w:rsidTr="00B273E2">
        <w:tc>
          <w:tcPr>
            <w:tcW w:w="2307" w:type="dxa"/>
          </w:tcPr>
          <w:p w14:paraId="7428D99B" w14:textId="77777777" w:rsidR="006775C9" w:rsidRPr="006775C9" w:rsidRDefault="006775C9" w:rsidP="00B273E2">
            <w:pPr>
              <w:pStyle w:val="AralkYok"/>
              <w:rPr>
                <w:sz w:val="24"/>
                <w:szCs w:val="24"/>
              </w:rPr>
            </w:pPr>
            <w:r w:rsidRPr="006775C9">
              <w:rPr>
                <w:sz w:val="24"/>
                <w:szCs w:val="24"/>
              </w:rPr>
              <w:t>S &amp; Ex</w:t>
            </w:r>
          </w:p>
        </w:tc>
        <w:tc>
          <w:tcPr>
            <w:tcW w:w="1357" w:type="dxa"/>
          </w:tcPr>
          <w:p w14:paraId="5E30FD4D" w14:textId="77777777" w:rsidR="006775C9" w:rsidRPr="006775C9" w:rsidRDefault="006775C9" w:rsidP="00B273E2">
            <w:pPr>
              <w:pStyle w:val="AralkYok"/>
              <w:jc w:val="center"/>
              <w:rPr>
                <w:sz w:val="24"/>
                <w:szCs w:val="24"/>
              </w:rPr>
            </w:pPr>
            <w:r w:rsidRPr="006775C9">
              <w:rPr>
                <w:sz w:val="24"/>
                <w:szCs w:val="24"/>
              </w:rPr>
              <w:t>leading</w:t>
            </w:r>
          </w:p>
        </w:tc>
        <w:tc>
          <w:tcPr>
            <w:tcW w:w="1359" w:type="dxa"/>
          </w:tcPr>
          <w:p w14:paraId="187265B1" w14:textId="77777777" w:rsidR="006775C9" w:rsidRPr="006775C9" w:rsidRDefault="006775C9" w:rsidP="00B273E2">
            <w:pPr>
              <w:pStyle w:val="AralkYok"/>
              <w:jc w:val="center"/>
              <w:rPr>
                <w:sz w:val="24"/>
                <w:szCs w:val="24"/>
              </w:rPr>
            </w:pPr>
            <w:r w:rsidRPr="006775C9">
              <w:rPr>
                <w:sz w:val="24"/>
                <w:szCs w:val="24"/>
              </w:rPr>
              <w:t>leading</w:t>
            </w:r>
          </w:p>
        </w:tc>
        <w:tc>
          <w:tcPr>
            <w:tcW w:w="1349" w:type="dxa"/>
          </w:tcPr>
          <w:p w14:paraId="77B3EE4C" w14:textId="77777777" w:rsidR="006775C9" w:rsidRPr="006775C9" w:rsidRDefault="006775C9" w:rsidP="00B273E2">
            <w:pPr>
              <w:pStyle w:val="AralkYok"/>
              <w:jc w:val="center"/>
              <w:rPr>
                <w:sz w:val="24"/>
                <w:szCs w:val="24"/>
              </w:rPr>
            </w:pPr>
            <w:r w:rsidRPr="006775C9">
              <w:rPr>
                <w:sz w:val="24"/>
                <w:szCs w:val="24"/>
              </w:rPr>
              <w:t>leading</w:t>
            </w:r>
          </w:p>
        </w:tc>
        <w:tc>
          <w:tcPr>
            <w:tcW w:w="1359" w:type="dxa"/>
          </w:tcPr>
          <w:p w14:paraId="4CC9BFE3" w14:textId="77777777" w:rsidR="006775C9" w:rsidRPr="006775C9" w:rsidRDefault="006775C9" w:rsidP="00B273E2">
            <w:pPr>
              <w:pStyle w:val="AralkYok"/>
              <w:jc w:val="center"/>
              <w:rPr>
                <w:sz w:val="24"/>
                <w:szCs w:val="24"/>
              </w:rPr>
            </w:pPr>
            <w:r w:rsidRPr="006775C9">
              <w:rPr>
                <w:sz w:val="24"/>
                <w:szCs w:val="24"/>
              </w:rPr>
              <w:t>lagging</w:t>
            </w:r>
          </w:p>
        </w:tc>
      </w:tr>
      <w:tr w:rsidR="006775C9" w:rsidRPr="006775C9" w14:paraId="309B443B" w14:textId="77777777" w:rsidTr="00B273E2">
        <w:tc>
          <w:tcPr>
            <w:tcW w:w="2307" w:type="dxa"/>
          </w:tcPr>
          <w:p w14:paraId="2D26E2E4" w14:textId="77777777" w:rsidR="006775C9" w:rsidRPr="006775C9" w:rsidRDefault="006775C9" w:rsidP="00B273E2">
            <w:pPr>
              <w:pStyle w:val="AralkYok"/>
              <w:rPr>
                <w:sz w:val="24"/>
                <w:szCs w:val="24"/>
              </w:rPr>
            </w:pPr>
            <w:r w:rsidRPr="006775C9">
              <w:rPr>
                <w:sz w:val="24"/>
                <w:szCs w:val="24"/>
              </w:rPr>
              <w:t>S &amp; Int</w:t>
            </w:r>
          </w:p>
        </w:tc>
        <w:tc>
          <w:tcPr>
            <w:tcW w:w="1357" w:type="dxa"/>
          </w:tcPr>
          <w:p w14:paraId="47DB0065" w14:textId="77777777" w:rsidR="006775C9" w:rsidRPr="006775C9" w:rsidRDefault="006775C9" w:rsidP="00B273E2">
            <w:pPr>
              <w:pStyle w:val="AralkYok"/>
              <w:jc w:val="center"/>
              <w:rPr>
                <w:sz w:val="24"/>
                <w:szCs w:val="24"/>
              </w:rPr>
            </w:pPr>
            <w:r w:rsidRPr="006775C9">
              <w:rPr>
                <w:sz w:val="24"/>
                <w:szCs w:val="24"/>
              </w:rPr>
              <w:t>lagging</w:t>
            </w:r>
          </w:p>
        </w:tc>
        <w:tc>
          <w:tcPr>
            <w:tcW w:w="1359" w:type="dxa"/>
          </w:tcPr>
          <w:p w14:paraId="37AB0C0B" w14:textId="77777777" w:rsidR="006775C9" w:rsidRPr="006775C9" w:rsidRDefault="006775C9" w:rsidP="00B273E2">
            <w:pPr>
              <w:pStyle w:val="AralkYok"/>
              <w:jc w:val="center"/>
              <w:rPr>
                <w:sz w:val="24"/>
                <w:szCs w:val="24"/>
              </w:rPr>
            </w:pPr>
            <w:r w:rsidRPr="006775C9">
              <w:rPr>
                <w:sz w:val="24"/>
                <w:szCs w:val="24"/>
              </w:rPr>
              <w:t>lagging</w:t>
            </w:r>
          </w:p>
        </w:tc>
        <w:tc>
          <w:tcPr>
            <w:tcW w:w="1349" w:type="dxa"/>
          </w:tcPr>
          <w:p w14:paraId="37F9C44F" w14:textId="77777777" w:rsidR="006775C9" w:rsidRPr="006775C9" w:rsidRDefault="006775C9" w:rsidP="00B273E2">
            <w:pPr>
              <w:pStyle w:val="AralkYok"/>
              <w:jc w:val="center"/>
              <w:rPr>
                <w:sz w:val="24"/>
                <w:szCs w:val="24"/>
              </w:rPr>
            </w:pPr>
            <w:r w:rsidRPr="006775C9">
              <w:rPr>
                <w:sz w:val="24"/>
                <w:szCs w:val="24"/>
              </w:rPr>
              <w:t>lagging</w:t>
            </w:r>
          </w:p>
        </w:tc>
        <w:tc>
          <w:tcPr>
            <w:tcW w:w="1359" w:type="dxa"/>
          </w:tcPr>
          <w:p w14:paraId="03ECDB07" w14:textId="77777777" w:rsidR="006775C9" w:rsidRPr="006775C9" w:rsidRDefault="006775C9" w:rsidP="00B273E2">
            <w:pPr>
              <w:pStyle w:val="AralkYok"/>
              <w:jc w:val="center"/>
              <w:rPr>
                <w:sz w:val="24"/>
                <w:szCs w:val="24"/>
              </w:rPr>
            </w:pPr>
            <w:r w:rsidRPr="006775C9">
              <w:rPr>
                <w:sz w:val="24"/>
                <w:szCs w:val="24"/>
              </w:rPr>
              <w:t>leading</w:t>
            </w:r>
          </w:p>
        </w:tc>
      </w:tr>
      <w:tr w:rsidR="006775C9" w:rsidRPr="006775C9" w14:paraId="691EB9A4" w14:textId="77777777" w:rsidTr="00B273E2">
        <w:tc>
          <w:tcPr>
            <w:tcW w:w="2307" w:type="dxa"/>
          </w:tcPr>
          <w:p w14:paraId="4F95571C" w14:textId="77777777" w:rsidR="006775C9" w:rsidRPr="006775C9" w:rsidRDefault="006775C9" w:rsidP="00B273E2">
            <w:pPr>
              <w:pStyle w:val="AralkYok"/>
              <w:rPr>
                <w:sz w:val="24"/>
                <w:szCs w:val="24"/>
              </w:rPr>
            </w:pPr>
            <w:r w:rsidRPr="006775C9">
              <w:rPr>
                <w:sz w:val="24"/>
                <w:szCs w:val="24"/>
              </w:rPr>
              <w:t>S &amp; T</w:t>
            </w:r>
          </w:p>
        </w:tc>
        <w:tc>
          <w:tcPr>
            <w:tcW w:w="1357" w:type="dxa"/>
          </w:tcPr>
          <w:p w14:paraId="2F3BB88C" w14:textId="77777777" w:rsidR="006775C9" w:rsidRPr="006775C9" w:rsidRDefault="006775C9" w:rsidP="00B273E2">
            <w:pPr>
              <w:pStyle w:val="AralkYok"/>
              <w:jc w:val="center"/>
              <w:rPr>
                <w:sz w:val="24"/>
                <w:szCs w:val="24"/>
              </w:rPr>
            </w:pPr>
            <w:r w:rsidRPr="006775C9">
              <w:rPr>
                <w:sz w:val="24"/>
                <w:szCs w:val="24"/>
              </w:rPr>
              <w:t>lagging</w:t>
            </w:r>
          </w:p>
        </w:tc>
        <w:tc>
          <w:tcPr>
            <w:tcW w:w="1359" w:type="dxa"/>
          </w:tcPr>
          <w:p w14:paraId="21239180" w14:textId="77777777" w:rsidR="006775C9" w:rsidRPr="006775C9" w:rsidRDefault="006775C9" w:rsidP="00B273E2">
            <w:pPr>
              <w:pStyle w:val="AralkYok"/>
              <w:jc w:val="center"/>
              <w:rPr>
                <w:sz w:val="24"/>
                <w:szCs w:val="24"/>
              </w:rPr>
            </w:pPr>
            <w:r w:rsidRPr="006775C9">
              <w:rPr>
                <w:sz w:val="24"/>
                <w:szCs w:val="24"/>
              </w:rPr>
              <w:t>lagging</w:t>
            </w:r>
          </w:p>
        </w:tc>
        <w:tc>
          <w:tcPr>
            <w:tcW w:w="1349" w:type="dxa"/>
          </w:tcPr>
          <w:p w14:paraId="6C91AFA4" w14:textId="77777777" w:rsidR="006775C9" w:rsidRPr="006775C9" w:rsidRDefault="006775C9" w:rsidP="00B273E2">
            <w:pPr>
              <w:pStyle w:val="AralkYok"/>
              <w:jc w:val="center"/>
              <w:rPr>
                <w:sz w:val="24"/>
                <w:szCs w:val="24"/>
              </w:rPr>
            </w:pPr>
            <w:r w:rsidRPr="006775C9">
              <w:rPr>
                <w:sz w:val="24"/>
                <w:szCs w:val="24"/>
              </w:rPr>
              <w:t>lagging</w:t>
            </w:r>
          </w:p>
        </w:tc>
        <w:tc>
          <w:tcPr>
            <w:tcW w:w="1359" w:type="dxa"/>
          </w:tcPr>
          <w:p w14:paraId="2C0C261C" w14:textId="77777777" w:rsidR="006775C9" w:rsidRPr="006775C9" w:rsidRDefault="006775C9" w:rsidP="00B273E2">
            <w:pPr>
              <w:pStyle w:val="AralkYok"/>
              <w:jc w:val="center"/>
              <w:rPr>
                <w:sz w:val="24"/>
                <w:szCs w:val="24"/>
              </w:rPr>
            </w:pPr>
            <w:r w:rsidRPr="006775C9">
              <w:rPr>
                <w:sz w:val="24"/>
                <w:szCs w:val="24"/>
              </w:rPr>
              <w:t>lagging</w:t>
            </w:r>
          </w:p>
        </w:tc>
      </w:tr>
      <w:tr w:rsidR="006775C9" w:rsidRPr="006775C9" w14:paraId="75837FCF" w14:textId="77777777" w:rsidTr="00B273E2">
        <w:tc>
          <w:tcPr>
            <w:tcW w:w="2307" w:type="dxa"/>
            <w:tcBorders>
              <w:bottom w:val="single" w:sz="12" w:space="0" w:color="auto"/>
            </w:tcBorders>
          </w:tcPr>
          <w:p w14:paraId="5AC4AEA1" w14:textId="77777777" w:rsidR="006775C9" w:rsidRPr="006775C9" w:rsidRDefault="006775C9" w:rsidP="00B273E2">
            <w:pPr>
              <w:pStyle w:val="AralkYok"/>
              <w:rPr>
                <w:sz w:val="24"/>
                <w:szCs w:val="24"/>
              </w:rPr>
            </w:pPr>
            <w:r w:rsidRPr="006775C9">
              <w:rPr>
                <w:sz w:val="24"/>
                <w:szCs w:val="24"/>
              </w:rPr>
              <w:t>Ex &amp; In</w:t>
            </w:r>
          </w:p>
        </w:tc>
        <w:tc>
          <w:tcPr>
            <w:tcW w:w="1357" w:type="dxa"/>
            <w:tcBorders>
              <w:bottom w:val="single" w:sz="12" w:space="0" w:color="auto"/>
            </w:tcBorders>
          </w:tcPr>
          <w:p w14:paraId="466C3F76" w14:textId="77777777" w:rsidR="006775C9" w:rsidRPr="006775C9" w:rsidRDefault="006775C9" w:rsidP="00B273E2">
            <w:pPr>
              <w:pStyle w:val="AralkYok"/>
              <w:jc w:val="center"/>
              <w:rPr>
                <w:sz w:val="24"/>
                <w:szCs w:val="24"/>
              </w:rPr>
            </w:pPr>
            <w:r w:rsidRPr="006775C9">
              <w:rPr>
                <w:sz w:val="24"/>
                <w:szCs w:val="24"/>
              </w:rPr>
              <w:t>lagging</w:t>
            </w:r>
          </w:p>
        </w:tc>
        <w:tc>
          <w:tcPr>
            <w:tcW w:w="1359" w:type="dxa"/>
            <w:tcBorders>
              <w:bottom w:val="single" w:sz="12" w:space="0" w:color="auto"/>
            </w:tcBorders>
          </w:tcPr>
          <w:p w14:paraId="41CB7E10" w14:textId="77777777" w:rsidR="006775C9" w:rsidRPr="006775C9" w:rsidRDefault="006775C9" w:rsidP="00B273E2">
            <w:pPr>
              <w:pStyle w:val="AralkYok"/>
              <w:jc w:val="center"/>
              <w:rPr>
                <w:sz w:val="24"/>
                <w:szCs w:val="24"/>
              </w:rPr>
            </w:pPr>
            <w:r w:rsidRPr="006775C9">
              <w:rPr>
                <w:sz w:val="24"/>
                <w:szCs w:val="24"/>
              </w:rPr>
              <w:t>lagging</w:t>
            </w:r>
          </w:p>
        </w:tc>
        <w:tc>
          <w:tcPr>
            <w:tcW w:w="1349" w:type="dxa"/>
            <w:tcBorders>
              <w:bottom w:val="single" w:sz="12" w:space="0" w:color="auto"/>
            </w:tcBorders>
          </w:tcPr>
          <w:p w14:paraId="36B010BE" w14:textId="77777777" w:rsidR="006775C9" w:rsidRPr="006775C9" w:rsidRDefault="006775C9" w:rsidP="00B273E2">
            <w:pPr>
              <w:pStyle w:val="AralkYok"/>
              <w:jc w:val="center"/>
              <w:rPr>
                <w:sz w:val="24"/>
                <w:szCs w:val="24"/>
              </w:rPr>
            </w:pPr>
            <w:r w:rsidRPr="006775C9">
              <w:rPr>
                <w:sz w:val="24"/>
                <w:szCs w:val="24"/>
              </w:rPr>
              <w:t>leading</w:t>
            </w:r>
          </w:p>
        </w:tc>
        <w:tc>
          <w:tcPr>
            <w:tcW w:w="1359" w:type="dxa"/>
            <w:tcBorders>
              <w:bottom w:val="single" w:sz="12" w:space="0" w:color="auto"/>
            </w:tcBorders>
          </w:tcPr>
          <w:p w14:paraId="1B7F1634" w14:textId="77777777" w:rsidR="006775C9" w:rsidRPr="006775C9" w:rsidRDefault="006775C9" w:rsidP="00B273E2">
            <w:pPr>
              <w:pStyle w:val="AralkYok"/>
              <w:jc w:val="center"/>
              <w:rPr>
                <w:sz w:val="24"/>
                <w:szCs w:val="24"/>
              </w:rPr>
            </w:pPr>
            <w:r w:rsidRPr="006775C9">
              <w:rPr>
                <w:sz w:val="24"/>
                <w:szCs w:val="24"/>
              </w:rPr>
              <w:t>lagging</w:t>
            </w:r>
          </w:p>
        </w:tc>
      </w:tr>
    </w:tbl>
    <w:p w14:paraId="23A51CD8" w14:textId="77777777" w:rsidR="00EC1CEE" w:rsidRDefault="00EC1CEE" w:rsidP="00870FB5">
      <w:pPr>
        <w:spacing w:before="240" w:line="360" w:lineRule="auto"/>
        <w:jc w:val="both"/>
        <w:rPr>
          <w:rFonts w:ascii="Times New Roman" w:hAnsi="Times New Roman" w:cs="Times New Roman"/>
          <w:b/>
          <w:bCs/>
        </w:rPr>
      </w:pPr>
    </w:p>
    <w:p w14:paraId="733F893F" w14:textId="77777777" w:rsidR="00EC1CEE" w:rsidRDefault="00EC1CEE">
      <w:pPr>
        <w:rPr>
          <w:rFonts w:ascii="Times New Roman" w:hAnsi="Times New Roman" w:cs="Times New Roman"/>
          <w:b/>
          <w:bCs/>
        </w:rPr>
      </w:pPr>
      <w:r>
        <w:rPr>
          <w:rFonts w:ascii="Times New Roman" w:hAnsi="Times New Roman" w:cs="Times New Roman"/>
          <w:b/>
          <w:bCs/>
        </w:rPr>
        <w:br w:type="page"/>
      </w:r>
    </w:p>
    <w:p w14:paraId="5738CCD6" w14:textId="77777777" w:rsidR="00077A74" w:rsidRDefault="00870FB5" w:rsidP="00077A74">
      <w:pPr>
        <w:spacing w:before="240" w:line="360" w:lineRule="auto"/>
        <w:jc w:val="both"/>
        <w:rPr>
          <w:rFonts w:ascii="Times New Roman" w:hAnsi="Times New Roman" w:cs="Times New Roman"/>
          <w:b/>
          <w:bCs/>
        </w:rPr>
      </w:pPr>
      <w:r w:rsidRPr="00870FB5">
        <w:rPr>
          <w:rFonts w:ascii="Times New Roman" w:hAnsi="Times New Roman" w:cs="Times New Roman"/>
          <w:b/>
          <w:bCs/>
        </w:rPr>
        <w:lastRenderedPageBreak/>
        <w:t>FIGURES</w:t>
      </w:r>
    </w:p>
    <w:p w14:paraId="3E9E039D" w14:textId="6AF069EB" w:rsidR="002C65C5" w:rsidRDefault="002C65C5" w:rsidP="002C65C5">
      <w:pPr>
        <w:pStyle w:val="IJCI-body-text"/>
        <w:spacing w:before="240" w:line="360" w:lineRule="auto"/>
        <w:ind w:firstLine="0"/>
        <w:rPr>
          <w:rFonts w:ascii="Times New Roman" w:hAnsi="Times New Roman"/>
          <w:bCs/>
          <w:iCs/>
          <w:sz w:val="24"/>
          <w:szCs w:val="24"/>
        </w:rPr>
      </w:pPr>
      <w:r>
        <w:rPr>
          <w:rFonts w:ascii="Times New Roman" w:hAnsi="Times New Roman"/>
          <w:b/>
          <w:sz w:val="24"/>
          <w:szCs w:val="24"/>
        </w:rPr>
        <w:t>Figure</w:t>
      </w:r>
      <w:r w:rsidRPr="00F01961">
        <w:rPr>
          <w:rFonts w:ascii="Times New Roman" w:hAnsi="Times New Roman"/>
          <w:b/>
          <w:sz w:val="24"/>
          <w:szCs w:val="24"/>
        </w:rPr>
        <w:t xml:space="preserve"> </w:t>
      </w:r>
      <w:r w:rsidR="00BE7BA6">
        <w:rPr>
          <w:rFonts w:ascii="Times New Roman" w:hAnsi="Times New Roman"/>
          <w:b/>
          <w:sz w:val="24"/>
          <w:szCs w:val="24"/>
        </w:rPr>
        <w:t>1</w:t>
      </w:r>
      <w:r w:rsidRPr="00F01961">
        <w:rPr>
          <w:rFonts w:ascii="Times New Roman" w:hAnsi="Times New Roman"/>
          <w:b/>
          <w:sz w:val="24"/>
          <w:szCs w:val="24"/>
        </w:rPr>
        <w:t>.</w:t>
      </w:r>
      <w:r w:rsidRPr="00F01961">
        <w:rPr>
          <w:rFonts w:ascii="Times New Roman" w:hAnsi="Times New Roman"/>
          <w:bCs/>
          <w:i/>
          <w:sz w:val="24"/>
          <w:szCs w:val="24"/>
        </w:rPr>
        <w:t xml:space="preserve"> </w:t>
      </w:r>
      <w:r w:rsidRPr="002C65C5">
        <w:rPr>
          <w:rFonts w:ascii="Times New Roman" w:hAnsi="Times New Roman"/>
          <w:bCs/>
          <w:iCs/>
          <w:sz w:val="24"/>
          <w:szCs w:val="24"/>
        </w:rPr>
        <w:t>The wavelet coherences of all series.</w:t>
      </w:r>
    </w:p>
    <w:p w14:paraId="2CE8F9E2" w14:textId="77777777" w:rsidR="00EC1CEE" w:rsidRDefault="00EC1CEE" w:rsidP="00EC1CEE">
      <w:r>
        <w:rPr>
          <w:noProof/>
          <w:lang w:val="tr-TR" w:eastAsia="tr-TR"/>
        </w:rPr>
        <w:drawing>
          <wp:inline distT="0" distB="0" distL="0" distR="0" wp14:anchorId="719B87AC" wp14:editId="0AB4D355">
            <wp:extent cx="6999765" cy="5599812"/>
            <wp:effectExtent l="0" t="4762" r="6032" b="6033"/>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nelA_forecast.pn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005625" cy="5604500"/>
                    </a:xfrm>
                    <a:prstGeom prst="rect">
                      <a:avLst/>
                    </a:prstGeom>
                  </pic:spPr>
                </pic:pic>
              </a:graphicData>
            </a:graphic>
          </wp:inline>
        </w:drawing>
      </w:r>
    </w:p>
    <w:p w14:paraId="00C71C76" w14:textId="77777777" w:rsidR="00EC1CEE" w:rsidRDefault="00EC1CEE" w:rsidP="00EC1CEE">
      <w:pPr>
        <w:pStyle w:val="ListeParagraf"/>
        <w:numPr>
          <w:ilvl w:val="0"/>
          <w:numId w:val="38"/>
        </w:numPr>
        <w:spacing w:line="480" w:lineRule="auto"/>
        <w:jc w:val="center"/>
      </w:pPr>
      <w:r w:rsidRPr="00237119">
        <w:t xml:space="preserve">WTC: CDS versus </w:t>
      </w:r>
      <w:r>
        <w:t>Consumer Cyclicals</w:t>
      </w:r>
    </w:p>
    <w:p w14:paraId="7F7AD79B" w14:textId="77777777" w:rsidR="00EC1CEE" w:rsidRDefault="00EC1CEE" w:rsidP="00EC1CEE">
      <w:r>
        <w:rPr>
          <w:noProof/>
          <w:lang w:val="tr-TR" w:eastAsia="tr-TR"/>
        </w:rPr>
        <w:lastRenderedPageBreak/>
        <w:drawing>
          <wp:inline distT="0" distB="0" distL="0" distR="0" wp14:anchorId="080AE03D" wp14:editId="244939A9">
            <wp:extent cx="7200001" cy="5760000"/>
            <wp:effectExtent l="0" t="381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nelA_forecast.pn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200001" cy="5760000"/>
                    </a:xfrm>
                    <a:prstGeom prst="rect">
                      <a:avLst/>
                    </a:prstGeom>
                  </pic:spPr>
                </pic:pic>
              </a:graphicData>
            </a:graphic>
          </wp:inline>
        </w:drawing>
      </w:r>
    </w:p>
    <w:p w14:paraId="26AE4E9F" w14:textId="77777777" w:rsidR="00EC1CEE" w:rsidRDefault="00EC1CEE" w:rsidP="00EC1CEE">
      <w:pPr>
        <w:pStyle w:val="ListeParagraf"/>
        <w:numPr>
          <w:ilvl w:val="0"/>
          <w:numId w:val="38"/>
        </w:numPr>
        <w:spacing w:line="480" w:lineRule="auto"/>
        <w:jc w:val="center"/>
      </w:pPr>
      <w:r w:rsidRPr="00237119">
        <w:t xml:space="preserve">WTC: CDS versus </w:t>
      </w:r>
      <w:r>
        <w:t>Industrials</w:t>
      </w:r>
    </w:p>
    <w:p w14:paraId="1FC38608" w14:textId="77777777" w:rsidR="00EC1CEE" w:rsidRDefault="00EC1CEE" w:rsidP="00EC1CEE">
      <w:r>
        <w:rPr>
          <w:noProof/>
          <w:lang w:val="tr-TR" w:eastAsia="tr-TR"/>
        </w:rPr>
        <w:lastRenderedPageBreak/>
        <w:drawing>
          <wp:inline distT="0" distB="0" distL="0" distR="0" wp14:anchorId="43F202F2" wp14:editId="3667D9DA">
            <wp:extent cx="7200000" cy="5760000"/>
            <wp:effectExtent l="0" t="381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nelA_forecast.pn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200000" cy="5760000"/>
                    </a:xfrm>
                    <a:prstGeom prst="rect">
                      <a:avLst/>
                    </a:prstGeom>
                  </pic:spPr>
                </pic:pic>
              </a:graphicData>
            </a:graphic>
          </wp:inline>
        </w:drawing>
      </w:r>
    </w:p>
    <w:p w14:paraId="2AF995BB" w14:textId="77777777" w:rsidR="00EC1CEE" w:rsidRDefault="00EC1CEE" w:rsidP="00EC1CEE">
      <w:pPr>
        <w:pStyle w:val="ListeParagraf"/>
        <w:numPr>
          <w:ilvl w:val="0"/>
          <w:numId w:val="38"/>
        </w:numPr>
        <w:spacing w:line="480" w:lineRule="auto"/>
        <w:jc w:val="center"/>
      </w:pPr>
      <w:r w:rsidRPr="00237119">
        <w:t xml:space="preserve">WTC: CDS versus </w:t>
      </w:r>
      <w:r>
        <w:t>Basic Materials</w:t>
      </w:r>
    </w:p>
    <w:p w14:paraId="746CB8A9" w14:textId="77777777" w:rsidR="00EC1CEE" w:rsidRDefault="00EC1CEE" w:rsidP="00EC1CEE">
      <w:r>
        <w:rPr>
          <w:noProof/>
          <w:lang w:val="tr-TR" w:eastAsia="tr-TR"/>
        </w:rPr>
        <w:lastRenderedPageBreak/>
        <w:drawing>
          <wp:inline distT="0" distB="0" distL="0" distR="0" wp14:anchorId="1B79F6A5" wp14:editId="30F7D96E">
            <wp:extent cx="7200001" cy="5760000"/>
            <wp:effectExtent l="0" t="381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nelA_forecast.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200001" cy="5760000"/>
                    </a:xfrm>
                    <a:prstGeom prst="rect">
                      <a:avLst/>
                    </a:prstGeom>
                  </pic:spPr>
                </pic:pic>
              </a:graphicData>
            </a:graphic>
          </wp:inline>
        </w:drawing>
      </w:r>
    </w:p>
    <w:p w14:paraId="09F51D84" w14:textId="77777777" w:rsidR="00EC1CEE" w:rsidRDefault="00EC1CEE" w:rsidP="00EC1CEE">
      <w:pPr>
        <w:pStyle w:val="ListeParagraf"/>
        <w:numPr>
          <w:ilvl w:val="0"/>
          <w:numId w:val="38"/>
        </w:numPr>
        <w:spacing w:line="480" w:lineRule="auto"/>
        <w:jc w:val="center"/>
      </w:pPr>
      <w:r w:rsidRPr="00237119">
        <w:t xml:space="preserve">WTC: CDS versus </w:t>
      </w:r>
      <w:r>
        <w:t>Consumer Non-Cyclicals</w:t>
      </w:r>
    </w:p>
    <w:p w14:paraId="168F504F" w14:textId="77777777" w:rsidR="00EC1CEE" w:rsidRDefault="00EC1CEE" w:rsidP="00EC1CEE">
      <w:r>
        <w:rPr>
          <w:noProof/>
          <w:lang w:val="tr-TR" w:eastAsia="tr-TR"/>
        </w:rPr>
        <w:lastRenderedPageBreak/>
        <w:drawing>
          <wp:inline distT="0" distB="0" distL="0" distR="0" wp14:anchorId="5037122B" wp14:editId="6BC0DEC0">
            <wp:extent cx="7200000" cy="5760000"/>
            <wp:effectExtent l="0" t="381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nelA_forecast.p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200000" cy="5760000"/>
                    </a:xfrm>
                    <a:prstGeom prst="rect">
                      <a:avLst/>
                    </a:prstGeom>
                  </pic:spPr>
                </pic:pic>
              </a:graphicData>
            </a:graphic>
          </wp:inline>
        </w:drawing>
      </w:r>
    </w:p>
    <w:p w14:paraId="77A5C0F9" w14:textId="089A74FF" w:rsidR="00EC1CEE" w:rsidRPr="008570FE" w:rsidRDefault="00EC1CEE" w:rsidP="008570FE">
      <w:pPr>
        <w:pStyle w:val="ListeParagraf"/>
        <w:numPr>
          <w:ilvl w:val="0"/>
          <w:numId w:val="38"/>
        </w:numPr>
        <w:spacing w:line="480" w:lineRule="auto"/>
        <w:jc w:val="center"/>
      </w:pPr>
      <w:r w:rsidRPr="00237119">
        <w:t xml:space="preserve">WTC: CDS versus </w:t>
      </w:r>
      <w:r>
        <w:t>Utilities</w:t>
      </w:r>
    </w:p>
    <w:p w14:paraId="2A84AAED" w14:textId="7479351A" w:rsidR="002C65C5" w:rsidRDefault="002C65C5" w:rsidP="00870FB5">
      <w:pPr>
        <w:spacing w:before="240" w:line="360" w:lineRule="auto"/>
        <w:jc w:val="both"/>
        <w:rPr>
          <w:rFonts w:ascii="Times New Roman" w:hAnsi="Times New Roman" w:cs="Times New Roman"/>
          <w:b/>
          <w:bCs/>
        </w:rPr>
      </w:pPr>
    </w:p>
    <w:p w14:paraId="6B986B3A" w14:textId="77777777" w:rsidR="00BE7BA6" w:rsidRDefault="00BE7BA6" w:rsidP="00BE7BA6">
      <w:pPr>
        <w:spacing w:before="240" w:line="360" w:lineRule="auto"/>
        <w:jc w:val="both"/>
        <w:rPr>
          <w:rFonts w:ascii="Times New Roman" w:hAnsi="Times New Roman"/>
          <w:bCs/>
        </w:rPr>
      </w:pPr>
      <w:r>
        <w:rPr>
          <w:rFonts w:ascii="Times New Roman" w:hAnsi="Times New Roman"/>
          <w:b/>
        </w:rPr>
        <w:lastRenderedPageBreak/>
        <w:t xml:space="preserve">Figure 2. </w:t>
      </w:r>
      <w:r w:rsidRPr="00077A74">
        <w:rPr>
          <w:rFonts w:ascii="Times New Roman" w:hAnsi="Times New Roman"/>
          <w:bCs/>
        </w:rPr>
        <w:t>Q</w:t>
      </w:r>
      <w:r>
        <w:rPr>
          <w:rFonts w:ascii="Times New Roman" w:hAnsi="Times New Roman"/>
          <w:bCs/>
        </w:rPr>
        <w:t>u</w:t>
      </w:r>
      <w:r w:rsidRPr="00077A74">
        <w:rPr>
          <w:rFonts w:ascii="Times New Roman" w:hAnsi="Times New Roman"/>
          <w:bCs/>
        </w:rPr>
        <w:t>adruple wavelet coherence</w:t>
      </w:r>
    </w:p>
    <w:p w14:paraId="515676B9" w14:textId="77777777" w:rsidR="00BE7BA6" w:rsidRPr="00077A74" w:rsidRDefault="00BE7BA6" w:rsidP="00BE7BA6">
      <w:pPr>
        <w:spacing w:before="240" w:line="360" w:lineRule="auto"/>
        <w:jc w:val="both"/>
        <w:rPr>
          <w:rFonts w:ascii="Times New Roman" w:hAnsi="Times New Roman"/>
          <w:bCs/>
        </w:rPr>
      </w:pPr>
      <w:r>
        <w:rPr>
          <w:noProof/>
          <w:lang w:val="tr-TR" w:eastAsia="tr-TR"/>
        </w:rPr>
        <w:drawing>
          <wp:inline distT="0" distB="0" distL="0" distR="0" wp14:anchorId="7D156B59" wp14:editId="39C434DC">
            <wp:extent cx="5486400" cy="4110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mwc_bist_exc_int_tradebal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110990"/>
                    </a:xfrm>
                    <a:prstGeom prst="rect">
                      <a:avLst/>
                    </a:prstGeom>
                  </pic:spPr>
                </pic:pic>
              </a:graphicData>
            </a:graphic>
          </wp:inline>
        </w:drawing>
      </w:r>
    </w:p>
    <w:p w14:paraId="68F72020" w14:textId="77777777" w:rsidR="00BE7BA6" w:rsidRPr="00870FB5" w:rsidRDefault="00BE7BA6" w:rsidP="00870FB5">
      <w:pPr>
        <w:spacing w:before="240" w:line="360" w:lineRule="auto"/>
        <w:jc w:val="both"/>
        <w:rPr>
          <w:rFonts w:ascii="Times New Roman" w:hAnsi="Times New Roman" w:cs="Times New Roman"/>
          <w:b/>
          <w:bCs/>
        </w:rPr>
      </w:pPr>
    </w:p>
    <w:sectPr w:rsidR="00BE7BA6" w:rsidRPr="00870FB5" w:rsidSect="00F80167">
      <w:headerReference w:type="even" r:id="rId14"/>
      <w:headerReference w:type="default" r:id="rId15"/>
      <w:footerReference w:type="default" r:id="rId16"/>
      <w:head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653DA" w14:textId="77777777" w:rsidR="00F70355" w:rsidRDefault="00F70355" w:rsidP="00846AEB">
      <w:r>
        <w:separator/>
      </w:r>
    </w:p>
  </w:endnote>
  <w:endnote w:type="continuationSeparator" w:id="0">
    <w:p w14:paraId="36E551FE" w14:textId="77777777" w:rsidR="00F70355" w:rsidRDefault="00F70355" w:rsidP="00846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B373" w14:textId="77777777" w:rsidR="00F80167" w:rsidRDefault="00F80167" w:rsidP="00D44253">
    <w:pPr>
      <w:pStyle w:val="AltBilgi"/>
      <w:jc w:val="center"/>
      <w:rPr>
        <w:rFonts w:ascii="Arial" w:hAnsi="Arial"/>
        <w:sz w:val="20"/>
        <w:szCs w:val="20"/>
      </w:rPr>
    </w:pPr>
  </w:p>
  <w:p w14:paraId="36F6FB09" w14:textId="3FB89493" w:rsidR="00F80167" w:rsidRDefault="00F80167" w:rsidP="00D3518D">
    <w:pPr>
      <w:pStyle w:val="AltBilgi"/>
      <w:rPr>
        <w:rFonts w:ascii="Arial" w:hAnsi="Arial"/>
        <w:noProof/>
        <w:sz w:val="20"/>
        <w:szCs w:val="20"/>
      </w:rPr>
    </w:pPr>
  </w:p>
  <w:p w14:paraId="3526C029" w14:textId="5D483A71" w:rsidR="006571BA" w:rsidRPr="00B07F83" w:rsidRDefault="006571BA" w:rsidP="00D44253">
    <w:pPr>
      <w:pStyle w:val="AltBilgi"/>
      <w:jc w:val="center"/>
      <w:rPr>
        <w:rFonts w:ascii="Arial" w:hAnsi="Arial"/>
        <w:sz w:val="20"/>
        <w:szCs w:val="20"/>
      </w:rPr>
    </w:pPr>
    <w:proofErr w:type="spellStart"/>
    <w:r w:rsidRPr="00B07F83">
      <w:rPr>
        <w:rFonts w:ascii="Arial" w:hAnsi="Arial"/>
        <w:sz w:val="20"/>
        <w:szCs w:val="20"/>
      </w:rPr>
      <w:t>Yeditepe</w:t>
    </w:r>
    <w:proofErr w:type="spellEnd"/>
    <w:r w:rsidRPr="00B07F83">
      <w:rPr>
        <w:rFonts w:ascii="Arial" w:hAnsi="Arial"/>
        <w:sz w:val="20"/>
        <w:szCs w:val="20"/>
      </w:rPr>
      <w:t xml:space="preserve"> University Academic Open Archive</w:t>
    </w:r>
    <w:r w:rsidR="00F80167">
      <w:rPr>
        <w:rFonts w:ascii="Arial" w:hAnsi="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98754" w14:textId="77777777" w:rsidR="00F70355" w:rsidRDefault="00F70355" w:rsidP="00846AEB">
      <w:r>
        <w:separator/>
      </w:r>
    </w:p>
  </w:footnote>
  <w:footnote w:type="continuationSeparator" w:id="0">
    <w:p w14:paraId="171FAF93" w14:textId="77777777" w:rsidR="00F70355" w:rsidRDefault="00F70355" w:rsidP="00846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6A418" w14:textId="69905097" w:rsidR="006571BA" w:rsidRDefault="00F70355">
    <w:pPr>
      <w:pStyle w:val="stBilgi"/>
    </w:pPr>
    <w:r>
      <w:rPr>
        <w:noProof/>
      </w:rPr>
      <w:pict w14:anchorId="3FE5A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4" type="#_x0000_t136" style="position:absolute;margin-left:0;margin-top:0;width:487.25pt;height:121.8pt;rotation:315;z-index:-251655168;mso-wrap-edited:f;mso-position-horizontal:center;mso-position-horizontal-relative:margin;mso-position-vertical:center;mso-position-vertical-relative:margin" wrapcoords="21467 8533 20702 6533 20304 5866 20171 6266 19938 8533 19639 9066 19639 9733 20038 11866 18509 8400 18210 8533 17778 8800 17512 8533 17014 8400 15452 4666 15120 5200 15020 6533 15452 8533 14787 8533 13990 8266 13392 9333 13192 8533 12594 8000 12428 8533 12295 8800 12361 10133 12627 12400 11298 8800 10999 8133 10700 8533 10301 8666 9504 8266 9005 8533 8905 9066 9271 10933 9271 13600 8041 9066 7809 8533 7244 8133 7111 8533 6579 9066 5649 8400 4951 8666 4153 8533 2625 5333 2425 5066 1827 4800 930 4800 265 4933 598 9066 598 15066 265 17066 265 16800 465 17600 1628 17466 1661 17200 1296 15066 1428 12400 2093 12266 2990 15600 3954 18266 4220 17600 4884 17466 4552 13066 4519 12933 4718 10800 5549 13866 7078 18266 7277 17866 7908 17466 8706 20533 9437 22266 9670 21466 10201 21333 10268 20933 9902 19466 10268 17733 10932 17600 11497 16666 12528 17733 13558 17466 13591 17200 13259 14800 13259 11733 14355 16000 15219 18400 15452 17466 15984 17466 16083 17066 15984 16533 16848 18133 17047 17733 19207 17600 19406 17466 19340 16533 19074 14000 19307 14800 20669 18000 21367 17200 21633 16533 21500 15600 20636 11333 21068 9866 21400 10000 21566 9733 21600 9066 21467 8533" fillcolor="silver" stroked="f">
          <v:textpath style="font-family:&quot;Cambria&quot;;font-size:1pt" string="Pre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AF586" w14:textId="0ADC4932" w:rsidR="00F80167" w:rsidRDefault="00757CE4" w:rsidP="00757CE4">
    <w:pPr>
      <w:pStyle w:val="stBilgi"/>
    </w:pPr>
    <w:r>
      <w:rPr>
        <w:rFonts w:ascii="Arial"/>
        <w:sz w:val="14"/>
        <w:u w:val="single"/>
      </w:rPr>
      <w:t xml:space="preserve">NOTE: </w:t>
    </w:r>
    <w:r w:rsidRPr="001530AB">
      <w:rPr>
        <w:rFonts w:ascii="Arial"/>
        <w:sz w:val="14"/>
        <w:u w:val="single"/>
      </w:rPr>
      <w:t xml:space="preserve">This preprint reports new research that has not been certified by peer review and should not be used </w:t>
    </w:r>
    <w:r w:rsidRPr="00761330">
      <w:rPr>
        <w:rFonts w:ascii="Arial"/>
        <w:sz w:val="14"/>
        <w:u w:val="single"/>
      </w:rPr>
      <w:t>as established information without consulting multiple experts in the field</w:t>
    </w:r>
  </w:p>
  <w:p w14:paraId="7586E805" w14:textId="6DB429F8" w:rsidR="006571BA" w:rsidRDefault="00F70355">
    <w:pPr>
      <w:pStyle w:val="stBilgi"/>
    </w:pPr>
    <w:r>
      <w:rPr>
        <w:noProof/>
      </w:rPr>
      <w:pict w14:anchorId="008EB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3" type="#_x0000_t136" style="position:absolute;margin-left:0;margin-top:0;width:487.25pt;height:121.8pt;rotation:315;z-index:-251657216;mso-wrap-edited:f;mso-position-horizontal:center;mso-position-horizontal-relative:margin;mso-position-vertical:center;mso-position-vertical-relative:margin" wrapcoords="21467 8533 20702 6533 20304 5866 20171 6266 19938 8533 19639 9066 19639 9733 20038 11866 18509 8400 18210 8533 17778 8800 17512 8533 17014 8400 15452 4666 15120 5200 15020 6533 15452 8533 14787 8533 13990 8266 13392 9333 13192 8533 12594 8000 12428 8533 12295 8800 12361 10133 12627 12400 11298 8800 10999 8133 10700 8533 10301 8666 9504 8266 9005 8533 8905 9066 9271 10933 9271 13600 8041 9066 7809 8533 7244 8133 7111 8533 6579 9066 5649 8400 4951 8666 4153 8533 2625 5333 2425 5066 1827 4800 930 4800 265 4933 598 9066 598 15066 265 17066 265 16800 465 17600 1628 17466 1661 17200 1296 15066 1428 12400 2093 12266 2990 15600 3954 18266 4220 17600 4884 17466 4552 13066 4519 12933 4718 10800 5549 13866 7078 18266 7277 17866 7908 17466 8706 20533 9437 22266 9670 21466 10201 21333 10268 20933 9902 19466 10268 17733 10932 17600 11497 16666 12528 17733 13558 17466 13591 17200 13259 14800 13259 11733 14355 16000 15219 18400 15452 17466 15984 17466 16083 17066 15984 16533 16848 18133 17047 17733 19207 17600 19406 17466 19340 16533 19074 14000 19307 14800 20669 18000 21367 17200 21633 16533 21500 15600 20636 11333 21068 9866 21400 10000 21566 9733 21600 9066 21467 8533" fillcolor="silver" stroked="f">
          <v:textpath style="font-family:&quot;Cambria&quot;;font-size:1pt" string="Prepri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2B10A" w14:textId="4070CB65" w:rsidR="006571BA" w:rsidRDefault="00F70355">
    <w:pPr>
      <w:pStyle w:val="stBilgi"/>
    </w:pPr>
    <w:r>
      <w:rPr>
        <w:noProof/>
      </w:rPr>
      <w:pict w14:anchorId="06E5F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5" type="#_x0000_t136" style="position:absolute;margin-left:0;margin-top:0;width:487.25pt;height:121.8pt;rotation:315;z-index:-251653120;mso-wrap-edited:f;mso-position-horizontal:center;mso-position-horizontal-relative:margin;mso-position-vertical:center;mso-position-vertical-relative:margin" wrapcoords="21467 8533 20702 6533 20304 5866 20171 6266 19938 8533 19639 9066 19639 9733 20038 11866 18509 8400 18210 8533 17778 8800 17512 8533 17014 8400 15452 4666 15120 5200 15020 6533 15452 8533 14787 8533 13990 8266 13392 9333 13192 8533 12594 8000 12428 8533 12295 8800 12361 10133 12627 12400 11298 8800 10999 8133 10700 8533 10301 8666 9504 8266 9005 8533 8905 9066 9271 10933 9271 13600 8041 9066 7809 8533 7244 8133 7111 8533 6579 9066 5649 8400 4951 8666 4153 8533 2625 5333 2425 5066 1827 4800 930 4800 265 4933 598 9066 598 15066 265 17066 265 16800 465 17600 1628 17466 1661 17200 1296 15066 1428 12400 2093 12266 2990 15600 3954 18266 4220 17600 4884 17466 4552 13066 4519 12933 4718 10800 5549 13866 7078 18266 7277 17866 7908 17466 8706 20533 9437 22266 9670 21466 10201 21333 10268 20933 9902 19466 10268 17733 10932 17600 11497 16666 12528 17733 13558 17466 13591 17200 13259 14800 13259 11733 14355 16000 15219 18400 15452 17466 15984 17466 16083 17066 15984 16533 16848 18133 17047 17733 19207 17600 19406 17466 19340 16533 19074 14000 19307 14800 20669 18000 21367 17200 21633 16533 21500 15600 20636 11333 21068 9866 21400 10000 21566 9733 21600 9066 21467 8533" fillcolor="silver" stroked="f">
          <v:textpath style="font-family:&quot;Cambria&quot;;font-size:1pt" string="Prepri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50D"/>
    <w:multiLevelType w:val="multilevel"/>
    <w:tmpl w:val="60C60DC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05D85EAE"/>
    <w:multiLevelType w:val="hybridMultilevel"/>
    <w:tmpl w:val="01742ED0"/>
    <w:lvl w:ilvl="0" w:tplc="5FA0F714">
      <w:start w:val="15"/>
      <w:numFmt w:val="decimal"/>
      <w:lvlText w:val="%1"/>
      <w:lvlJc w:val="left"/>
      <w:pPr>
        <w:ind w:left="766" w:hanging="562"/>
      </w:pPr>
      <w:rPr>
        <w:rFonts w:ascii="Times New Roman" w:eastAsia="Times New Roman" w:hAnsi="Times New Roman" w:cs="Times New Roman" w:hint="default"/>
        <w:w w:val="100"/>
        <w:sz w:val="20"/>
        <w:szCs w:val="20"/>
        <w:lang w:val="en-US" w:eastAsia="en-US" w:bidi="ar-SA"/>
      </w:rPr>
    </w:lvl>
    <w:lvl w:ilvl="1" w:tplc="58F895CA">
      <w:numFmt w:val="bullet"/>
      <w:lvlText w:val="•"/>
      <w:lvlJc w:val="left"/>
      <w:pPr>
        <w:ind w:left="1748" w:hanging="562"/>
      </w:pPr>
      <w:rPr>
        <w:rFonts w:hint="default"/>
        <w:lang w:val="en-US" w:eastAsia="en-US" w:bidi="ar-SA"/>
      </w:rPr>
    </w:lvl>
    <w:lvl w:ilvl="2" w:tplc="EE12D40A">
      <w:numFmt w:val="bullet"/>
      <w:lvlText w:val="•"/>
      <w:lvlJc w:val="left"/>
      <w:pPr>
        <w:ind w:left="2736" w:hanging="562"/>
      </w:pPr>
      <w:rPr>
        <w:rFonts w:hint="default"/>
        <w:lang w:val="en-US" w:eastAsia="en-US" w:bidi="ar-SA"/>
      </w:rPr>
    </w:lvl>
    <w:lvl w:ilvl="3" w:tplc="2EF0189A">
      <w:numFmt w:val="bullet"/>
      <w:lvlText w:val="•"/>
      <w:lvlJc w:val="left"/>
      <w:pPr>
        <w:ind w:left="3724" w:hanging="562"/>
      </w:pPr>
      <w:rPr>
        <w:rFonts w:hint="default"/>
        <w:lang w:val="en-US" w:eastAsia="en-US" w:bidi="ar-SA"/>
      </w:rPr>
    </w:lvl>
    <w:lvl w:ilvl="4" w:tplc="3E06C48A">
      <w:numFmt w:val="bullet"/>
      <w:lvlText w:val="•"/>
      <w:lvlJc w:val="left"/>
      <w:pPr>
        <w:ind w:left="4712" w:hanging="562"/>
      </w:pPr>
      <w:rPr>
        <w:rFonts w:hint="default"/>
        <w:lang w:val="en-US" w:eastAsia="en-US" w:bidi="ar-SA"/>
      </w:rPr>
    </w:lvl>
    <w:lvl w:ilvl="5" w:tplc="5B729302">
      <w:numFmt w:val="bullet"/>
      <w:lvlText w:val="•"/>
      <w:lvlJc w:val="left"/>
      <w:pPr>
        <w:ind w:left="5700" w:hanging="562"/>
      </w:pPr>
      <w:rPr>
        <w:rFonts w:hint="default"/>
        <w:lang w:val="en-US" w:eastAsia="en-US" w:bidi="ar-SA"/>
      </w:rPr>
    </w:lvl>
    <w:lvl w:ilvl="6" w:tplc="2B5E0570">
      <w:numFmt w:val="bullet"/>
      <w:lvlText w:val="•"/>
      <w:lvlJc w:val="left"/>
      <w:pPr>
        <w:ind w:left="6688" w:hanging="562"/>
      </w:pPr>
      <w:rPr>
        <w:rFonts w:hint="default"/>
        <w:lang w:val="en-US" w:eastAsia="en-US" w:bidi="ar-SA"/>
      </w:rPr>
    </w:lvl>
    <w:lvl w:ilvl="7" w:tplc="0194ED78">
      <w:numFmt w:val="bullet"/>
      <w:lvlText w:val="•"/>
      <w:lvlJc w:val="left"/>
      <w:pPr>
        <w:ind w:left="7676" w:hanging="562"/>
      </w:pPr>
      <w:rPr>
        <w:rFonts w:hint="default"/>
        <w:lang w:val="en-US" w:eastAsia="en-US" w:bidi="ar-SA"/>
      </w:rPr>
    </w:lvl>
    <w:lvl w:ilvl="8" w:tplc="C4C445EA">
      <w:numFmt w:val="bullet"/>
      <w:lvlText w:val="•"/>
      <w:lvlJc w:val="left"/>
      <w:pPr>
        <w:ind w:left="8664" w:hanging="562"/>
      </w:pPr>
      <w:rPr>
        <w:rFonts w:hint="default"/>
        <w:lang w:val="en-US" w:eastAsia="en-US" w:bidi="ar-SA"/>
      </w:rPr>
    </w:lvl>
  </w:abstractNum>
  <w:abstractNum w:abstractNumId="2" w15:restartNumberingAfterBreak="0">
    <w:nsid w:val="0B4D2E4B"/>
    <w:multiLevelType w:val="hybridMultilevel"/>
    <w:tmpl w:val="7BE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F019A"/>
    <w:multiLevelType w:val="hybridMultilevel"/>
    <w:tmpl w:val="36CA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37B0C"/>
    <w:multiLevelType w:val="multilevel"/>
    <w:tmpl w:val="455C61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52F6516"/>
    <w:multiLevelType w:val="multilevel"/>
    <w:tmpl w:val="606C963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bCs/>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abstractNum w:abstractNumId="6" w15:restartNumberingAfterBreak="0">
    <w:nsid w:val="1AF42B61"/>
    <w:multiLevelType w:val="multilevel"/>
    <w:tmpl w:val="A88C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2269C"/>
    <w:multiLevelType w:val="multilevel"/>
    <w:tmpl w:val="B226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44083"/>
    <w:multiLevelType w:val="hybridMultilevel"/>
    <w:tmpl w:val="0410347E"/>
    <w:lvl w:ilvl="0" w:tplc="6A5E2AD2">
      <w:start w:val="3"/>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8F33AD9"/>
    <w:multiLevelType w:val="multilevel"/>
    <w:tmpl w:val="455C61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98F06FB"/>
    <w:multiLevelType w:val="hybridMultilevel"/>
    <w:tmpl w:val="F7EC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3113A"/>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C2136A2"/>
    <w:multiLevelType w:val="multilevel"/>
    <w:tmpl w:val="29B0CF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F0516C1"/>
    <w:multiLevelType w:val="hybridMultilevel"/>
    <w:tmpl w:val="7F008BDC"/>
    <w:lvl w:ilvl="0" w:tplc="F38CE944">
      <w:start w:val="1"/>
      <w:numFmt w:val="lowerRoman"/>
      <w:lvlText w:val="%1)"/>
      <w:lvlJc w:val="left"/>
      <w:pPr>
        <w:ind w:left="1080" w:hanging="7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30DF1C99"/>
    <w:multiLevelType w:val="multilevel"/>
    <w:tmpl w:val="BEDE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996F99"/>
    <w:multiLevelType w:val="multilevel"/>
    <w:tmpl w:val="455C61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25E76E3"/>
    <w:multiLevelType w:val="hybridMultilevel"/>
    <w:tmpl w:val="88A0E640"/>
    <w:lvl w:ilvl="0" w:tplc="F28204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2C01F53"/>
    <w:multiLevelType w:val="multilevel"/>
    <w:tmpl w:val="ED5C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2E0E0C"/>
    <w:multiLevelType w:val="hybridMultilevel"/>
    <w:tmpl w:val="18640AE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32E7D20"/>
    <w:multiLevelType w:val="multilevel"/>
    <w:tmpl w:val="455C61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7DC0701"/>
    <w:multiLevelType w:val="multilevel"/>
    <w:tmpl w:val="C4FC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443E2"/>
    <w:multiLevelType w:val="multilevel"/>
    <w:tmpl w:val="CB4A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B5518"/>
    <w:multiLevelType w:val="hybridMultilevel"/>
    <w:tmpl w:val="A93A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993B99"/>
    <w:multiLevelType w:val="multilevel"/>
    <w:tmpl w:val="50C4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462CB8"/>
    <w:multiLevelType w:val="hybridMultilevel"/>
    <w:tmpl w:val="7DF0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54268B"/>
    <w:multiLevelType w:val="multilevel"/>
    <w:tmpl w:val="C426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5E2CF1"/>
    <w:multiLevelType w:val="hybridMultilevel"/>
    <w:tmpl w:val="89006EFE"/>
    <w:lvl w:ilvl="0" w:tplc="C232834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44F305E"/>
    <w:multiLevelType w:val="hybridMultilevel"/>
    <w:tmpl w:val="72F0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3101C"/>
    <w:multiLevelType w:val="hybridMultilevel"/>
    <w:tmpl w:val="8542DD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58EA4DAF"/>
    <w:multiLevelType w:val="hybridMultilevel"/>
    <w:tmpl w:val="2A00ABBA"/>
    <w:lvl w:ilvl="0" w:tplc="A75270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50D1B"/>
    <w:multiLevelType w:val="hybridMultilevel"/>
    <w:tmpl w:val="D4C4FB94"/>
    <w:lvl w:ilvl="0" w:tplc="6A8CE78E">
      <w:numFmt w:val="bullet"/>
      <w:lvlText w:val="-"/>
      <w:lvlJc w:val="left"/>
      <w:pPr>
        <w:ind w:left="386" w:hanging="360"/>
      </w:pPr>
      <w:rPr>
        <w:rFonts w:ascii="Times New Roman" w:eastAsia="Times New Roman" w:hAnsi="Times New Roman" w:cs="Times New Roman" w:hint="default"/>
      </w:rPr>
    </w:lvl>
    <w:lvl w:ilvl="1" w:tplc="04090003" w:tentative="1">
      <w:start w:val="1"/>
      <w:numFmt w:val="bullet"/>
      <w:lvlText w:val="o"/>
      <w:lvlJc w:val="left"/>
      <w:pPr>
        <w:ind w:left="1106" w:hanging="360"/>
      </w:pPr>
      <w:rPr>
        <w:rFonts w:ascii="Courier New" w:hAnsi="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31" w15:restartNumberingAfterBreak="0">
    <w:nsid w:val="5FBB44DA"/>
    <w:multiLevelType w:val="multilevel"/>
    <w:tmpl w:val="5D6A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C827A3"/>
    <w:multiLevelType w:val="multilevel"/>
    <w:tmpl w:val="BB76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885BEA"/>
    <w:multiLevelType w:val="hybridMultilevel"/>
    <w:tmpl w:val="8F7295C4"/>
    <w:lvl w:ilvl="0" w:tplc="FCE0C55C">
      <w:start w:val="1"/>
      <w:numFmt w:val="decimal"/>
      <w:lvlText w:val="%1."/>
      <w:lvlJc w:val="left"/>
      <w:pPr>
        <w:ind w:left="360" w:hanging="360"/>
      </w:pPr>
      <w:rPr>
        <w:rFonts w:ascii="Times New Roman" w:hAnsi="Times New Roman" w:cs="Times New Roman" w:hint="default"/>
        <w:b/>
        <w:i/>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15:restartNumberingAfterBreak="0">
    <w:nsid w:val="6E5E495E"/>
    <w:multiLevelType w:val="multilevel"/>
    <w:tmpl w:val="A46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334EA"/>
    <w:multiLevelType w:val="multilevel"/>
    <w:tmpl w:val="7D1C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B310A7"/>
    <w:multiLevelType w:val="multilevel"/>
    <w:tmpl w:val="FFB2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DC3AB3"/>
    <w:multiLevelType w:val="hybridMultilevel"/>
    <w:tmpl w:val="5570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E4FD6"/>
    <w:multiLevelType w:val="multilevel"/>
    <w:tmpl w:val="455C61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9D0658E"/>
    <w:multiLevelType w:val="hybridMultilevel"/>
    <w:tmpl w:val="E1FAB92A"/>
    <w:lvl w:ilvl="0" w:tplc="E92CE59A">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15:restartNumberingAfterBreak="0">
    <w:nsid w:val="7A305830"/>
    <w:multiLevelType w:val="hybridMultilevel"/>
    <w:tmpl w:val="FD1C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2B82"/>
    <w:multiLevelType w:val="hybridMultilevel"/>
    <w:tmpl w:val="93828E18"/>
    <w:lvl w:ilvl="0" w:tplc="94BC86CA">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27"/>
  </w:num>
  <w:num w:numId="3">
    <w:abstractNumId w:val="30"/>
  </w:num>
  <w:num w:numId="4">
    <w:abstractNumId w:val="0"/>
  </w:num>
  <w:num w:numId="5">
    <w:abstractNumId w:val="13"/>
  </w:num>
  <w:num w:numId="6">
    <w:abstractNumId w:val="36"/>
  </w:num>
  <w:num w:numId="7">
    <w:abstractNumId w:val="14"/>
  </w:num>
  <w:num w:numId="8">
    <w:abstractNumId w:val="17"/>
  </w:num>
  <w:num w:numId="9">
    <w:abstractNumId w:val="39"/>
  </w:num>
  <w:num w:numId="10">
    <w:abstractNumId w:val="33"/>
  </w:num>
  <w:num w:numId="11">
    <w:abstractNumId w:val="12"/>
  </w:num>
  <w:num w:numId="12">
    <w:abstractNumId w:val="29"/>
  </w:num>
  <w:num w:numId="13">
    <w:abstractNumId w:val="3"/>
  </w:num>
  <w:num w:numId="14">
    <w:abstractNumId w:val="25"/>
  </w:num>
  <w:num w:numId="15">
    <w:abstractNumId w:val="37"/>
  </w:num>
  <w:num w:numId="16">
    <w:abstractNumId w:val="5"/>
  </w:num>
  <w:num w:numId="17">
    <w:abstractNumId w:val="11"/>
  </w:num>
  <w:num w:numId="18">
    <w:abstractNumId w:val="41"/>
  </w:num>
  <w:num w:numId="19">
    <w:abstractNumId w:val="20"/>
  </w:num>
  <w:num w:numId="20">
    <w:abstractNumId w:val="23"/>
  </w:num>
  <w:num w:numId="21">
    <w:abstractNumId w:val="31"/>
  </w:num>
  <w:num w:numId="22">
    <w:abstractNumId w:val="6"/>
  </w:num>
  <w:num w:numId="23">
    <w:abstractNumId w:val="7"/>
  </w:num>
  <w:num w:numId="24">
    <w:abstractNumId w:val="40"/>
  </w:num>
  <w:num w:numId="25">
    <w:abstractNumId w:val="34"/>
  </w:num>
  <w:num w:numId="26">
    <w:abstractNumId w:val="8"/>
  </w:num>
  <w:num w:numId="27">
    <w:abstractNumId w:val="32"/>
  </w:num>
  <w:num w:numId="28">
    <w:abstractNumId w:val="28"/>
  </w:num>
  <w:num w:numId="29">
    <w:abstractNumId w:val="16"/>
  </w:num>
  <w:num w:numId="30">
    <w:abstractNumId w:val="35"/>
  </w:num>
  <w:num w:numId="31">
    <w:abstractNumId w:val="21"/>
  </w:num>
  <w:num w:numId="32">
    <w:abstractNumId w:val="10"/>
  </w:num>
  <w:num w:numId="33">
    <w:abstractNumId w:val="18"/>
  </w:num>
  <w:num w:numId="34">
    <w:abstractNumId w:val="26"/>
  </w:num>
  <w:num w:numId="35">
    <w:abstractNumId w:val="2"/>
  </w:num>
  <w:num w:numId="36">
    <w:abstractNumId w:val="24"/>
  </w:num>
  <w:num w:numId="37">
    <w:abstractNumId w:val="22"/>
  </w:num>
  <w:num w:numId="38">
    <w:abstractNumId w:val="15"/>
  </w:num>
  <w:num w:numId="39">
    <w:abstractNumId w:val="4"/>
  </w:num>
  <w:num w:numId="40">
    <w:abstractNumId w:val="19"/>
  </w:num>
  <w:num w:numId="41">
    <w:abstractNumId w:val="38"/>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AyNDYzMjc3NjU0MTFR0lEKTi0uzszPAykwrQUAiZZCMiwAAAA="/>
    <w:docVar w:name="EN.Layout" w:val="&lt;ENLayout&gt;&lt;Style&gt;YMJ&lt;/Style&gt;&lt;LeftDelim&gt;{&lt;/LeftDelim&gt;&lt;RightDelim&gt;}&lt;/RightDelim&gt;&lt;FontName&gt;Cambria&lt;/FontName&gt;&lt;FontSize&gt;12&lt;/FontSize&gt;&lt;ReflistTitle&gt;&lt;style charset=&quot;162&quot;&gt;KAYNAKLAR&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46AEB"/>
    <w:rsid w:val="000036D5"/>
    <w:rsid w:val="00032588"/>
    <w:rsid w:val="00034F88"/>
    <w:rsid w:val="00044BD4"/>
    <w:rsid w:val="00054A4C"/>
    <w:rsid w:val="00061950"/>
    <w:rsid w:val="00077A74"/>
    <w:rsid w:val="000A6838"/>
    <w:rsid w:val="000A6FDF"/>
    <w:rsid w:val="000B7849"/>
    <w:rsid w:val="000F012D"/>
    <w:rsid w:val="0011165E"/>
    <w:rsid w:val="00141545"/>
    <w:rsid w:val="00142498"/>
    <w:rsid w:val="00150712"/>
    <w:rsid w:val="001530AB"/>
    <w:rsid w:val="001550B3"/>
    <w:rsid w:val="00194BBE"/>
    <w:rsid w:val="001A6322"/>
    <w:rsid w:val="001D336C"/>
    <w:rsid w:val="001D5124"/>
    <w:rsid w:val="001E0530"/>
    <w:rsid w:val="001E1D71"/>
    <w:rsid w:val="00215622"/>
    <w:rsid w:val="00263FD5"/>
    <w:rsid w:val="00284DCD"/>
    <w:rsid w:val="002C13D4"/>
    <w:rsid w:val="002C65C5"/>
    <w:rsid w:val="002D4422"/>
    <w:rsid w:val="002F6039"/>
    <w:rsid w:val="0032650F"/>
    <w:rsid w:val="0033107A"/>
    <w:rsid w:val="00336A27"/>
    <w:rsid w:val="0034181C"/>
    <w:rsid w:val="00361F44"/>
    <w:rsid w:val="00363822"/>
    <w:rsid w:val="0037421D"/>
    <w:rsid w:val="00380BB2"/>
    <w:rsid w:val="00390BE8"/>
    <w:rsid w:val="003D153F"/>
    <w:rsid w:val="00406788"/>
    <w:rsid w:val="00412C9F"/>
    <w:rsid w:val="004149A5"/>
    <w:rsid w:val="0045779D"/>
    <w:rsid w:val="00473238"/>
    <w:rsid w:val="00473E4A"/>
    <w:rsid w:val="004B214B"/>
    <w:rsid w:val="004B34C2"/>
    <w:rsid w:val="004F0730"/>
    <w:rsid w:val="004F0C6C"/>
    <w:rsid w:val="004F4891"/>
    <w:rsid w:val="004F611C"/>
    <w:rsid w:val="0051585C"/>
    <w:rsid w:val="00515BA3"/>
    <w:rsid w:val="00551B05"/>
    <w:rsid w:val="00560AC8"/>
    <w:rsid w:val="00563F47"/>
    <w:rsid w:val="00570966"/>
    <w:rsid w:val="0059146D"/>
    <w:rsid w:val="005D34AA"/>
    <w:rsid w:val="005E7B62"/>
    <w:rsid w:val="0061204F"/>
    <w:rsid w:val="00632989"/>
    <w:rsid w:val="006346F0"/>
    <w:rsid w:val="006571BA"/>
    <w:rsid w:val="006606CE"/>
    <w:rsid w:val="00661994"/>
    <w:rsid w:val="006652E9"/>
    <w:rsid w:val="006775C9"/>
    <w:rsid w:val="006B120F"/>
    <w:rsid w:val="006B678B"/>
    <w:rsid w:val="006B75E8"/>
    <w:rsid w:val="006F4B12"/>
    <w:rsid w:val="006F50EB"/>
    <w:rsid w:val="006F5F63"/>
    <w:rsid w:val="00711852"/>
    <w:rsid w:val="00715B64"/>
    <w:rsid w:val="00757CE4"/>
    <w:rsid w:val="00761330"/>
    <w:rsid w:val="0076753B"/>
    <w:rsid w:val="00793B4C"/>
    <w:rsid w:val="007D1D45"/>
    <w:rsid w:val="00832414"/>
    <w:rsid w:val="00840E21"/>
    <w:rsid w:val="00846AEB"/>
    <w:rsid w:val="00856C2D"/>
    <w:rsid w:val="008570FE"/>
    <w:rsid w:val="00865439"/>
    <w:rsid w:val="00870FB5"/>
    <w:rsid w:val="008A3FD0"/>
    <w:rsid w:val="008A47E2"/>
    <w:rsid w:val="008B4892"/>
    <w:rsid w:val="008C6135"/>
    <w:rsid w:val="008D1E1C"/>
    <w:rsid w:val="008E080C"/>
    <w:rsid w:val="00901E5F"/>
    <w:rsid w:val="00902DA3"/>
    <w:rsid w:val="00911EC8"/>
    <w:rsid w:val="009134A4"/>
    <w:rsid w:val="00925A46"/>
    <w:rsid w:val="0094265F"/>
    <w:rsid w:val="00942BAD"/>
    <w:rsid w:val="00945A6C"/>
    <w:rsid w:val="00947C68"/>
    <w:rsid w:val="009604B6"/>
    <w:rsid w:val="00965E48"/>
    <w:rsid w:val="00970338"/>
    <w:rsid w:val="009A3371"/>
    <w:rsid w:val="009A5986"/>
    <w:rsid w:val="009B51FE"/>
    <w:rsid w:val="009B545E"/>
    <w:rsid w:val="009E2EF0"/>
    <w:rsid w:val="009F1B2A"/>
    <w:rsid w:val="00A020AA"/>
    <w:rsid w:val="00A94239"/>
    <w:rsid w:val="00AA32B4"/>
    <w:rsid w:val="00AB0CED"/>
    <w:rsid w:val="00AB2F78"/>
    <w:rsid w:val="00AC20EC"/>
    <w:rsid w:val="00AC6944"/>
    <w:rsid w:val="00AE47A9"/>
    <w:rsid w:val="00AE7447"/>
    <w:rsid w:val="00B0595B"/>
    <w:rsid w:val="00B07F83"/>
    <w:rsid w:val="00B20672"/>
    <w:rsid w:val="00B346DE"/>
    <w:rsid w:val="00B4303B"/>
    <w:rsid w:val="00B46690"/>
    <w:rsid w:val="00B563EE"/>
    <w:rsid w:val="00B609A5"/>
    <w:rsid w:val="00B663AD"/>
    <w:rsid w:val="00B82366"/>
    <w:rsid w:val="00B83865"/>
    <w:rsid w:val="00BE7BA6"/>
    <w:rsid w:val="00C13329"/>
    <w:rsid w:val="00C227A7"/>
    <w:rsid w:val="00C27155"/>
    <w:rsid w:val="00C40957"/>
    <w:rsid w:val="00C41525"/>
    <w:rsid w:val="00C504D7"/>
    <w:rsid w:val="00C96F4B"/>
    <w:rsid w:val="00D05FAD"/>
    <w:rsid w:val="00D11923"/>
    <w:rsid w:val="00D147A8"/>
    <w:rsid w:val="00D15471"/>
    <w:rsid w:val="00D3115D"/>
    <w:rsid w:val="00D3518D"/>
    <w:rsid w:val="00D44253"/>
    <w:rsid w:val="00D452D3"/>
    <w:rsid w:val="00D729B1"/>
    <w:rsid w:val="00DB6821"/>
    <w:rsid w:val="00DC4226"/>
    <w:rsid w:val="00E15155"/>
    <w:rsid w:val="00E40945"/>
    <w:rsid w:val="00E40B16"/>
    <w:rsid w:val="00E55BBA"/>
    <w:rsid w:val="00E7658F"/>
    <w:rsid w:val="00EA1571"/>
    <w:rsid w:val="00EA433F"/>
    <w:rsid w:val="00EA44AA"/>
    <w:rsid w:val="00EA6358"/>
    <w:rsid w:val="00EB3C07"/>
    <w:rsid w:val="00EB6991"/>
    <w:rsid w:val="00EB702D"/>
    <w:rsid w:val="00EC1CEE"/>
    <w:rsid w:val="00ED02DD"/>
    <w:rsid w:val="00EF7B3B"/>
    <w:rsid w:val="00F01961"/>
    <w:rsid w:val="00F20DBC"/>
    <w:rsid w:val="00F30B64"/>
    <w:rsid w:val="00F35104"/>
    <w:rsid w:val="00F70355"/>
    <w:rsid w:val="00F75703"/>
    <w:rsid w:val="00F80167"/>
    <w:rsid w:val="00F837BD"/>
    <w:rsid w:val="00F95C7F"/>
    <w:rsid w:val="00F97F59"/>
    <w:rsid w:val="00FB58E2"/>
    <w:rsid w:val="00FD075D"/>
    <w:rsid w:val="00FD19ED"/>
    <w:rsid w:val="00FE4E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BD9F879"/>
  <w14:defaultImageDpi w14:val="300"/>
  <w15:docId w15:val="{4C3084C2-4DD2-4E71-ADA3-D2104205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901E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nhideWhenUsed/>
    <w:qFormat/>
    <w:rsid w:val="00B663AD"/>
    <w:pPr>
      <w:keepNext/>
      <w:keepLines/>
      <w:spacing w:before="40" w:line="256" w:lineRule="auto"/>
      <w:outlineLvl w:val="1"/>
    </w:pPr>
    <w:rPr>
      <w:rFonts w:ascii="Calibri Light" w:eastAsia="Calibri" w:hAnsi="Calibri Light" w:cs="Times New Roman"/>
      <w:color w:val="2F5496"/>
      <w:sz w:val="26"/>
      <w:szCs w:val="26"/>
      <w:lang w:val="en-GB" w:eastAsia="en-GB"/>
    </w:rPr>
  </w:style>
  <w:style w:type="paragraph" w:styleId="Balk4">
    <w:name w:val="heading 4"/>
    <w:basedOn w:val="Normal"/>
    <w:next w:val="Normal"/>
    <w:link w:val="Balk4Char"/>
    <w:qFormat/>
    <w:rsid w:val="00901E5F"/>
    <w:pPr>
      <w:keepNext/>
      <w:keepLines/>
      <w:spacing w:before="40" w:line="259" w:lineRule="auto"/>
      <w:outlineLvl w:val="3"/>
    </w:pPr>
    <w:rPr>
      <w:rFonts w:ascii="Calibri Light" w:eastAsia="Calibri" w:hAnsi="Calibri Light" w:cs="Times New Roman"/>
      <w:i/>
      <w:iCs/>
      <w:color w:val="2F5496"/>
      <w:szCs w:val="22"/>
      <w:lang w:val="en-GB"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
    <w:qFormat/>
    <w:rsid w:val="00846AEB"/>
    <w:pPr>
      <w:widowControl w:val="0"/>
      <w:autoSpaceDE w:val="0"/>
      <w:autoSpaceDN w:val="0"/>
      <w:ind w:left="2100" w:right="954" w:hanging="2074"/>
    </w:pPr>
    <w:rPr>
      <w:rFonts w:ascii="Times New Roman" w:eastAsia="Times New Roman" w:hAnsi="Times New Roman" w:cs="Times New Roman"/>
      <w:b/>
      <w:bCs/>
      <w:sz w:val="28"/>
      <w:szCs w:val="28"/>
    </w:rPr>
  </w:style>
  <w:style w:type="character" w:customStyle="1" w:styleId="KonuBalChar">
    <w:name w:val="Konu Başlığı Char"/>
    <w:basedOn w:val="VarsaylanParagrafYazTipi"/>
    <w:link w:val="KonuBal"/>
    <w:uiPriority w:val="1"/>
    <w:rsid w:val="00846AEB"/>
    <w:rPr>
      <w:rFonts w:ascii="Times New Roman" w:eastAsia="Times New Roman" w:hAnsi="Times New Roman" w:cs="Times New Roman"/>
      <w:b/>
      <w:bCs/>
      <w:sz w:val="28"/>
      <w:szCs w:val="28"/>
    </w:rPr>
  </w:style>
  <w:style w:type="character" w:styleId="Kpr">
    <w:name w:val="Hyperlink"/>
    <w:basedOn w:val="VarsaylanParagrafYazTipi"/>
    <w:unhideWhenUsed/>
    <w:rsid w:val="00846AEB"/>
    <w:rPr>
      <w:color w:val="0000FF" w:themeColor="hyperlink"/>
      <w:u w:val="single"/>
    </w:rPr>
  </w:style>
  <w:style w:type="paragraph" w:styleId="stBilgi">
    <w:name w:val="header"/>
    <w:basedOn w:val="Normal"/>
    <w:link w:val="stBilgiChar"/>
    <w:uiPriority w:val="99"/>
    <w:unhideWhenUsed/>
    <w:rsid w:val="00846AEB"/>
    <w:pPr>
      <w:tabs>
        <w:tab w:val="center" w:pos="4320"/>
        <w:tab w:val="right" w:pos="8640"/>
      </w:tabs>
    </w:pPr>
  </w:style>
  <w:style w:type="character" w:customStyle="1" w:styleId="stBilgiChar">
    <w:name w:val="Üst Bilgi Char"/>
    <w:basedOn w:val="VarsaylanParagrafYazTipi"/>
    <w:link w:val="stBilgi"/>
    <w:uiPriority w:val="99"/>
    <w:rsid w:val="00846AEB"/>
  </w:style>
  <w:style w:type="paragraph" w:styleId="AltBilgi">
    <w:name w:val="footer"/>
    <w:basedOn w:val="Normal"/>
    <w:link w:val="AltBilgiChar"/>
    <w:uiPriority w:val="99"/>
    <w:unhideWhenUsed/>
    <w:rsid w:val="00846AEB"/>
    <w:pPr>
      <w:tabs>
        <w:tab w:val="center" w:pos="4320"/>
        <w:tab w:val="right" w:pos="8640"/>
      </w:tabs>
    </w:pPr>
  </w:style>
  <w:style w:type="character" w:customStyle="1" w:styleId="AltBilgiChar">
    <w:name w:val="Alt Bilgi Char"/>
    <w:basedOn w:val="VarsaylanParagrafYazTipi"/>
    <w:link w:val="AltBilgi"/>
    <w:uiPriority w:val="99"/>
    <w:rsid w:val="00846AEB"/>
  </w:style>
  <w:style w:type="paragraph" w:styleId="ListeParagraf">
    <w:name w:val="List Paragraph"/>
    <w:basedOn w:val="Normal"/>
    <w:link w:val="ListeParagrafChar"/>
    <w:uiPriority w:val="34"/>
    <w:qFormat/>
    <w:rsid w:val="00FB58E2"/>
    <w:pPr>
      <w:ind w:left="720"/>
      <w:contextualSpacing/>
    </w:pPr>
  </w:style>
  <w:style w:type="character" w:customStyle="1" w:styleId="lang-en">
    <w:name w:val="lang-en"/>
    <w:rsid w:val="00B663AD"/>
  </w:style>
  <w:style w:type="character" w:customStyle="1" w:styleId="Balk2Char">
    <w:name w:val="Başlık 2 Char"/>
    <w:basedOn w:val="VarsaylanParagrafYazTipi"/>
    <w:link w:val="Balk2"/>
    <w:rsid w:val="00B663AD"/>
    <w:rPr>
      <w:rFonts w:ascii="Calibri Light" w:eastAsia="Calibri" w:hAnsi="Calibri Light" w:cs="Times New Roman"/>
      <w:color w:val="2F5496"/>
      <w:sz w:val="26"/>
      <w:szCs w:val="26"/>
      <w:lang w:val="en-GB" w:eastAsia="en-GB"/>
    </w:rPr>
  </w:style>
  <w:style w:type="character" w:customStyle="1" w:styleId="ListeParagrafChar">
    <w:name w:val="Liste Paragraf Char"/>
    <w:link w:val="ListeParagraf"/>
    <w:uiPriority w:val="34"/>
    <w:locked/>
    <w:rsid w:val="00B663AD"/>
  </w:style>
  <w:style w:type="paragraph" w:customStyle="1" w:styleId="Default">
    <w:name w:val="Default"/>
    <w:rsid w:val="00B663AD"/>
    <w:pPr>
      <w:autoSpaceDE w:val="0"/>
      <w:autoSpaceDN w:val="0"/>
      <w:adjustRightInd w:val="0"/>
    </w:pPr>
    <w:rPr>
      <w:rFonts w:ascii="Arial" w:eastAsia="Times New Roman" w:hAnsi="Arial" w:cs="Arial"/>
      <w:color w:val="000000"/>
      <w:lang w:val="tr-TR"/>
    </w:rPr>
  </w:style>
  <w:style w:type="character" w:customStyle="1" w:styleId="hgkelc">
    <w:name w:val="hgkelc"/>
    <w:rsid w:val="00911EC8"/>
  </w:style>
  <w:style w:type="paragraph" w:customStyle="1" w:styleId="EndNoteBibliographyTitle">
    <w:name w:val="EndNote Bibliography Title"/>
    <w:basedOn w:val="Normal"/>
    <w:link w:val="EndNoteBibliographyTitleChar"/>
    <w:rsid w:val="00911EC8"/>
    <w:pPr>
      <w:jc w:val="center"/>
    </w:pPr>
    <w:rPr>
      <w:rFonts w:ascii="Cambria" w:hAnsi="Cambria"/>
      <w:noProof/>
    </w:rPr>
  </w:style>
  <w:style w:type="character" w:customStyle="1" w:styleId="EndNoteBibliographyTitleChar">
    <w:name w:val="EndNote Bibliography Title Char"/>
    <w:basedOn w:val="VarsaylanParagrafYazTipi"/>
    <w:link w:val="EndNoteBibliographyTitle"/>
    <w:rsid w:val="00911EC8"/>
    <w:rPr>
      <w:rFonts w:ascii="Cambria" w:hAnsi="Cambria"/>
      <w:noProof/>
    </w:rPr>
  </w:style>
  <w:style w:type="paragraph" w:customStyle="1" w:styleId="EndNoteBibliography">
    <w:name w:val="EndNote Bibliography"/>
    <w:basedOn w:val="Normal"/>
    <w:link w:val="EndNoteBibliographyChar"/>
    <w:rsid w:val="00911EC8"/>
    <w:pPr>
      <w:jc w:val="both"/>
    </w:pPr>
    <w:rPr>
      <w:rFonts w:ascii="Cambria" w:hAnsi="Cambria"/>
      <w:noProof/>
    </w:rPr>
  </w:style>
  <w:style w:type="character" w:customStyle="1" w:styleId="EndNoteBibliographyChar">
    <w:name w:val="EndNote Bibliography Char"/>
    <w:basedOn w:val="VarsaylanParagrafYazTipi"/>
    <w:link w:val="EndNoteBibliography"/>
    <w:rsid w:val="00911EC8"/>
    <w:rPr>
      <w:rFonts w:ascii="Cambria" w:hAnsi="Cambria"/>
      <w:noProof/>
    </w:rPr>
  </w:style>
  <w:style w:type="character" w:customStyle="1" w:styleId="UnresolvedMention1">
    <w:name w:val="Unresolved Mention1"/>
    <w:basedOn w:val="VarsaylanParagrafYazTipi"/>
    <w:uiPriority w:val="99"/>
    <w:semiHidden/>
    <w:unhideWhenUsed/>
    <w:rsid w:val="00911EC8"/>
    <w:rPr>
      <w:color w:val="605E5C"/>
      <w:shd w:val="clear" w:color="auto" w:fill="E1DFDD"/>
    </w:rPr>
  </w:style>
  <w:style w:type="character" w:customStyle="1" w:styleId="Balk1Char">
    <w:name w:val="Başlık 1 Char"/>
    <w:basedOn w:val="VarsaylanParagrafYazTipi"/>
    <w:link w:val="Balk1"/>
    <w:rsid w:val="00901E5F"/>
    <w:rPr>
      <w:rFonts w:asciiTheme="majorHAnsi" w:eastAsiaTheme="majorEastAsia" w:hAnsiTheme="majorHAnsi" w:cstheme="majorBidi"/>
      <w:color w:val="365F91" w:themeColor="accent1" w:themeShade="BF"/>
      <w:sz w:val="32"/>
      <w:szCs w:val="32"/>
    </w:rPr>
  </w:style>
  <w:style w:type="character" w:customStyle="1" w:styleId="Balk4Char">
    <w:name w:val="Başlık 4 Char"/>
    <w:basedOn w:val="VarsaylanParagrafYazTipi"/>
    <w:link w:val="Balk4"/>
    <w:rsid w:val="00901E5F"/>
    <w:rPr>
      <w:rFonts w:ascii="Calibri Light" w:eastAsia="Calibri" w:hAnsi="Calibri Light" w:cs="Times New Roman"/>
      <w:i/>
      <w:iCs/>
      <w:color w:val="2F5496"/>
      <w:szCs w:val="22"/>
      <w:lang w:val="en-GB" w:eastAsia="en-GB"/>
    </w:rPr>
  </w:style>
  <w:style w:type="paragraph" w:styleId="DipnotMetni">
    <w:name w:val="footnote text"/>
    <w:basedOn w:val="Normal"/>
    <w:link w:val="DipnotMetniChar"/>
    <w:semiHidden/>
    <w:rsid w:val="00901E5F"/>
    <w:rPr>
      <w:rFonts w:ascii="Times New Roman" w:eastAsia="Calibri" w:hAnsi="Times New Roman" w:cs="Times New Roman"/>
      <w:sz w:val="20"/>
      <w:szCs w:val="20"/>
      <w:lang w:val="en-GB" w:eastAsia="en-GB"/>
    </w:rPr>
  </w:style>
  <w:style w:type="character" w:customStyle="1" w:styleId="DipnotMetniChar">
    <w:name w:val="Dipnot Metni Char"/>
    <w:basedOn w:val="VarsaylanParagrafYazTipi"/>
    <w:link w:val="DipnotMetni"/>
    <w:semiHidden/>
    <w:rsid w:val="00901E5F"/>
    <w:rPr>
      <w:rFonts w:ascii="Times New Roman" w:eastAsia="Calibri" w:hAnsi="Times New Roman" w:cs="Times New Roman"/>
      <w:sz w:val="20"/>
      <w:szCs w:val="20"/>
      <w:lang w:val="en-GB" w:eastAsia="en-GB"/>
    </w:rPr>
  </w:style>
  <w:style w:type="character" w:styleId="DipnotBavurusu">
    <w:name w:val="footnote reference"/>
    <w:semiHidden/>
    <w:rsid w:val="00901E5F"/>
    <w:rPr>
      <w:rFonts w:cs="Times New Roman"/>
      <w:vertAlign w:val="superscript"/>
    </w:rPr>
  </w:style>
  <w:style w:type="character" w:customStyle="1" w:styleId="algo-summary">
    <w:name w:val="algo-summary"/>
    <w:rsid w:val="00901E5F"/>
    <w:rPr>
      <w:rFonts w:cs="Times New Roman"/>
    </w:rPr>
  </w:style>
  <w:style w:type="character" w:styleId="Gl">
    <w:name w:val="Strong"/>
    <w:uiPriority w:val="22"/>
    <w:qFormat/>
    <w:rsid w:val="00901E5F"/>
    <w:rPr>
      <w:rFonts w:cs="Times New Roman"/>
      <w:b/>
      <w:bCs/>
    </w:rPr>
  </w:style>
  <w:style w:type="character" w:customStyle="1" w:styleId="cit">
    <w:name w:val="cit"/>
    <w:rsid w:val="00901E5F"/>
    <w:rPr>
      <w:rFonts w:cs="Times New Roman"/>
    </w:rPr>
  </w:style>
  <w:style w:type="character" w:customStyle="1" w:styleId="author">
    <w:name w:val="author"/>
    <w:rsid w:val="00901E5F"/>
    <w:rPr>
      <w:rFonts w:cs="Times New Roman"/>
    </w:rPr>
  </w:style>
  <w:style w:type="character" w:customStyle="1" w:styleId="a-color-secondary">
    <w:name w:val="a-color-secondary"/>
    <w:rsid w:val="00901E5F"/>
    <w:rPr>
      <w:rFonts w:cs="Times New Roman"/>
    </w:rPr>
  </w:style>
  <w:style w:type="character" w:customStyle="1" w:styleId="size-m">
    <w:name w:val="size-m"/>
    <w:rsid w:val="00901E5F"/>
    <w:rPr>
      <w:rFonts w:cs="Times New Roman"/>
      <w:sz w:val="20"/>
      <w:szCs w:val="20"/>
    </w:rPr>
  </w:style>
  <w:style w:type="character" w:customStyle="1" w:styleId="title-text">
    <w:name w:val="title-text"/>
    <w:rsid w:val="00901E5F"/>
    <w:rPr>
      <w:rFonts w:cs="Times New Roman"/>
    </w:rPr>
  </w:style>
  <w:style w:type="character" w:customStyle="1" w:styleId="sr-only1">
    <w:name w:val="sr-only1"/>
    <w:rsid w:val="00901E5F"/>
    <w:rPr>
      <w:rFonts w:cs="Times New Roman"/>
      <w:bdr w:val="none" w:sz="0" w:space="0" w:color="auto" w:frame="1"/>
    </w:rPr>
  </w:style>
  <w:style w:type="character" w:customStyle="1" w:styleId="text2">
    <w:name w:val="text2"/>
    <w:rsid w:val="00901E5F"/>
    <w:rPr>
      <w:rFonts w:cs="Times New Roman"/>
    </w:rPr>
  </w:style>
  <w:style w:type="character" w:customStyle="1" w:styleId="author-ref">
    <w:name w:val="author-ref"/>
    <w:rsid w:val="00901E5F"/>
    <w:rPr>
      <w:rFonts w:cs="Times New Roman"/>
    </w:rPr>
  </w:style>
  <w:style w:type="character" w:styleId="zlenenKpr">
    <w:name w:val="FollowedHyperlink"/>
    <w:semiHidden/>
    <w:rsid w:val="00901E5F"/>
    <w:rPr>
      <w:rFonts w:cs="Times New Roman"/>
      <w:color w:val="954F72"/>
      <w:u w:val="single"/>
    </w:rPr>
  </w:style>
  <w:style w:type="character" w:customStyle="1" w:styleId="inline">
    <w:name w:val="inline"/>
    <w:rsid w:val="00901E5F"/>
    <w:rPr>
      <w:rFonts w:cs="Times New Roman"/>
    </w:rPr>
  </w:style>
  <w:style w:type="character" w:customStyle="1" w:styleId="delimiter">
    <w:name w:val="delimiter"/>
    <w:rsid w:val="00901E5F"/>
    <w:rPr>
      <w:rFonts w:cs="Times New Roman"/>
    </w:rPr>
  </w:style>
  <w:style w:type="paragraph" w:customStyle="1" w:styleId="icon--meta-keyline">
    <w:name w:val="icon--meta-keyline"/>
    <w:basedOn w:val="Normal"/>
    <w:rsid w:val="00901E5F"/>
    <w:pPr>
      <w:spacing w:before="100" w:beforeAutospacing="1" w:after="100" w:afterAutospacing="1"/>
    </w:pPr>
    <w:rPr>
      <w:rFonts w:ascii="Times New Roman" w:eastAsia="Calibri" w:hAnsi="Times New Roman" w:cs="Times New Roman"/>
    </w:rPr>
  </w:style>
  <w:style w:type="character" w:customStyle="1" w:styleId="articlecitationyear">
    <w:name w:val="articlecitation_year"/>
    <w:rsid w:val="00901E5F"/>
    <w:rPr>
      <w:rFonts w:cs="Times New Roman"/>
    </w:rPr>
  </w:style>
  <w:style w:type="character" w:customStyle="1" w:styleId="articlecitationvolume">
    <w:name w:val="articlecitation_volume"/>
    <w:rsid w:val="00901E5F"/>
    <w:rPr>
      <w:rFonts w:cs="Times New Roman"/>
    </w:rPr>
  </w:style>
  <w:style w:type="character" w:customStyle="1" w:styleId="articlecitationpages">
    <w:name w:val="articlecitation_pages"/>
    <w:rsid w:val="00901E5F"/>
    <w:rPr>
      <w:rFonts w:cs="Times New Roman"/>
    </w:rPr>
  </w:style>
  <w:style w:type="character" w:customStyle="1" w:styleId="u-inline-block">
    <w:name w:val="u-inline-block"/>
    <w:rsid w:val="00901E5F"/>
    <w:rPr>
      <w:rFonts w:cs="Times New Roman"/>
    </w:rPr>
  </w:style>
  <w:style w:type="table" w:styleId="TabloKlavuzu">
    <w:name w:val="Table Grid"/>
    <w:basedOn w:val="NormalTablo"/>
    <w:uiPriority w:val="39"/>
    <w:rsid w:val="00901E5F"/>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semiHidden/>
    <w:rsid w:val="00901E5F"/>
    <w:rPr>
      <w:rFonts w:ascii="Segoe UI" w:eastAsia="Calibri" w:hAnsi="Segoe UI" w:cs="Segoe UI"/>
      <w:sz w:val="18"/>
      <w:szCs w:val="18"/>
      <w:lang w:val="en-GB" w:eastAsia="en-GB"/>
    </w:rPr>
  </w:style>
  <w:style w:type="character" w:customStyle="1" w:styleId="BalonMetniChar">
    <w:name w:val="Balon Metni Char"/>
    <w:basedOn w:val="VarsaylanParagrafYazTipi"/>
    <w:link w:val="BalonMetni"/>
    <w:semiHidden/>
    <w:rsid w:val="00901E5F"/>
    <w:rPr>
      <w:rFonts w:ascii="Segoe UI" w:eastAsia="Calibri" w:hAnsi="Segoe UI" w:cs="Segoe UI"/>
      <w:sz w:val="18"/>
      <w:szCs w:val="18"/>
      <w:lang w:val="en-GB" w:eastAsia="en-GB"/>
    </w:rPr>
  </w:style>
  <w:style w:type="paragraph" w:styleId="NormalWeb">
    <w:name w:val="Normal (Web)"/>
    <w:aliases w:val="Normal (Web) Char,Normal (Web) Char Char Char Char Char,Normal (Web) Char Char Char,Normal (Web) Char Char Char Char"/>
    <w:basedOn w:val="Normal"/>
    <w:uiPriority w:val="99"/>
    <w:rsid w:val="00901E5F"/>
    <w:pPr>
      <w:spacing w:before="100" w:beforeAutospacing="1" w:after="100" w:afterAutospacing="1"/>
    </w:pPr>
    <w:rPr>
      <w:rFonts w:ascii="Times New Roman" w:eastAsia="Calibri" w:hAnsi="Times New Roman" w:cs="Times New Roman"/>
      <w:lang w:val="tr-TR" w:eastAsia="tr-TR"/>
    </w:rPr>
  </w:style>
  <w:style w:type="character" w:customStyle="1" w:styleId="other-info">
    <w:name w:val="other-info"/>
    <w:rsid w:val="00901E5F"/>
    <w:rPr>
      <w:rFonts w:cs="Times New Roman"/>
    </w:rPr>
  </w:style>
  <w:style w:type="character" w:customStyle="1" w:styleId="article-title-and-info">
    <w:name w:val="article-title-and-info"/>
    <w:rsid w:val="00901E5F"/>
    <w:rPr>
      <w:rFonts w:cs="Times New Roman"/>
    </w:rPr>
  </w:style>
  <w:style w:type="character" w:customStyle="1" w:styleId="kapakyazisi1">
    <w:name w:val="kapakyazisi1"/>
    <w:rsid w:val="00901E5F"/>
    <w:rPr>
      <w:rFonts w:ascii="Arial" w:hAnsi="Arial" w:cs="Arial"/>
      <w:color w:val="333333"/>
      <w:sz w:val="27"/>
      <w:szCs w:val="27"/>
    </w:rPr>
  </w:style>
  <w:style w:type="character" w:customStyle="1" w:styleId="pseudotab3">
    <w:name w:val="pseudotab3"/>
    <w:rsid w:val="00901E5F"/>
    <w:rPr>
      <w:rFonts w:cs="Times New Roman"/>
    </w:rPr>
  </w:style>
  <w:style w:type="paragraph" w:customStyle="1" w:styleId="u-mb-2">
    <w:name w:val="u-mb-2"/>
    <w:basedOn w:val="Normal"/>
    <w:rsid w:val="00901E5F"/>
    <w:pPr>
      <w:spacing w:before="100" w:beforeAutospacing="1" w:after="100" w:afterAutospacing="1"/>
    </w:pPr>
    <w:rPr>
      <w:rFonts w:ascii="Times New Roman" w:eastAsia="Calibri" w:hAnsi="Times New Roman" w:cs="Times New Roman"/>
    </w:rPr>
  </w:style>
  <w:style w:type="character" w:customStyle="1" w:styleId="authorsname">
    <w:name w:val="authors__name"/>
    <w:rsid w:val="00901E5F"/>
    <w:rPr>
      <w:rFonts w:cs="Times New Roman"/>
    </w:rPr>
  </w:style>
  <w:style w:type="character" w:customStyle="1" w:styleId="sr-only">
    <w:name w:val="sr-only"/>
    <w:rsid w:val="00901E5F"/>
    <w:rPr>
      <w:rFonts w:cs="Times New Roman"/>
    </w:rPr>
  </w:style>
  <w:style w:type="character" w:customStyle="1" w:styleId="text">
    <w:name w:val="text"/>
    <w:rsid w:val="00901E5F"/>
    <w:rPr>
      <w:rFonts w:cs="Times New Roman"/>
    </w:rPr>
  </w:style>
  <w:style w:type="table" w:customStyle="1" w:styleId="TabloKlavuzu1">
    <w:name w:val="Tablo Kılavuzu1"/>
    <w:rsid w:val="00901E5F"/>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rsid w:val="00901E5F"/>
    <w:rPr>
      <w:rFonts w:ascii="Calibri"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va-e-listitem">
    <w:name w:val="nova-e-list__item"/>
    <w:basedOn w:val="Normal"/>
    <w:rsid w:val="00901E5F"/>
    <w:pPr>
      <w:spacing w:before="100" w:beforeAutospacing="1" w:after="100" w:afterAutospacing="1"/>
    </w:pPr>
    <w:rPr>
      <w:rFonts w:ascii="Times New Roman" w:eastAsia="Calibri" w:hAnsi="Times New Roman" w:cs="Times New Roman"/>
    </w:rPr>
  </w:style>
  <w:style w:type="character" w:customStyle="1" w:styleId="publication">
    <w:name w:val="publication"/>
    <w:rsid w:val="00901E5F"/>
    <w:rPr>
      <w:rFonts w:cs="Times New Roman"/>
    </w:rPr>
  </w:style>
  <w:style w:type="character" w:customStyle="1" w:styleId="volume">
    <w:name w:val="volume"/>
    <w:rsid w:val="00901E5F"/>
    <w:rPr>
      <w:rFonts w:cs="Times New Roman"/>
    </w:rPr>
  </w:style>
  <w:style w:type="character" w:customStyle="1" w:styleId="part">
    <w:name w:val="part"/>
    <w:rsid w:val="00901E5F"/>
    <w:rPr>
      <w:rFonts w:cs="Times New Roman"/>
    </w:rPr>
  </w:style>
  <w:style w:type="character" w:customStyle="1" w:styleId="contribution">
    <w:name w:val="contribution"/>
    <w:rsid w:val="00901E5F"/>
    <w:rPr>
      <w:rFonts w:cs="Times New Roman"/>
    </w:rPr>
  </w:style>
  <w:style w:type="paragraph" w:customStyle="1" w:styleId="c-bibliographic-informationvalue">
    <w:name w:val="c-bibliographic-information__value"/>
    <w:basedOn w:val="Normal"/>
    <w:rsid w:val="00901E5F"/>
    <w:pPr>
      <w:spacing w:before="100" w:beforeAutospacing="1" w:after="100" w:afterAutospacing="1"/>
    </w:pPr>
    <w:rPr>
      <w:rFonts w:ascii="Times New Roman" w:eastAsia="Calibri" w:hAnsi="Times New Roman" w:cs="Times New Roman"/>
    </w:rPr>
  </w:style>
  <w:style w:type="paragraph" w:styleId="GvdeMetniGirintisi">
    <w:name w:val="Body Text Indent"/>
    <w:basedOn w:val="Normal"/>
    <w:link w:val="GvdeMetniGirintisiChar"/>
    <w:rsid w:val="00901E5F"/>
    <w:pPr>
      <w:spacing w:after="120"/>
      <w:ind w:left="283"/>
    </w:pPr>
    <w:rPr>
      <w:rFonts w:ascii="Times New Roman" w:eastAsia="Calibri" w:hAnsi="Times New Roman" w:cs="Times New Roman"/>
      <w:sz w:val="20"/>
      <w:szCs w:val="20"/>
      <w:lang w:val="tr-TR" w:eastAsia="tr-TR"/>
    </w:rPr>
  </w:style>
  <w:style w:type="character" w:customStyle="1" w:styleId="GvdeMetniGirintisiChar">
    <w:name w:val="Gövde Metni Girintisi Char"/>
    <w:basedOn w:val="VarsaylanParagrafYazTipi"/>
    <w:link w:val="GvdeMetniGirintisi"/>
    <w:rsid w:val="00901E5F"/>
    <w:rPr>
      <w:rFonts w:ascii="Times New Roman" w:eastAsia="Calibri" w:hAnsi="Times New Roman" w:cs="Times New Roman"/>
      <w:sz w:val="20"/>
      <w:szCs w:val="20"/>
      <w:lang w:val="tr-TR" w:eastAsia="tr-TR"/>
    </w:rPr>
  </w:style>
  <w:style w:type="paragraph" w:customStyle="1" w:styleId="citation">
    <w:name w:val="citation"/>
    <w:basedOn w:val="Normal"/>
    <w:rsid w:val="00901E5F"/>
    <w:pPr>
      <w:spacing w:before="100" w:beforeAutospacing="1" w:after="100" w:afterAutospacing="1"/>
    </w:pPr>
    <w:rPr>
      <w:rFonts w:ascii="Times New Roman" w:eastAsia="Calibri" w:hAnsi="Times New Roman" w:cs="Times New Roman"/>
      <w:lang w:val="tr-TR" w:eastAsia="tr-TR"/>
    </w:rPr>
  </w:style>
  <w:style w:type="paragraph" w:customStyle="1" w:styleId="desc1">
    <w:name w:val="desc1"/>
    <w:basedOn w:val="Normal"/>
    <w:rsid w:val="00901E5F"/>
    <w:pPr>
      <w:spacing w:before="100" w:beforeAutospacing="1" w:after="100" w:afterAutospacing="1"/>
    </w:pPr>
    <w:rPr>
      <w:rFonts w:ascii="Times New Roman" w:eastAsia="Calibri" w:hAnsi="Times New Roman" w:cs="Times New Roman"/>
      <w:sz w:val="28"/>
      <w:szCs w:val="28"/>
      <w:lang w:val="tr-TR" w:eastAsia="tr-TR"/>
    </w:rPr>
  </w:style>
  <w:style w:type="paragraph" w:customStyle="1" w:styleId="desc">
    <w:name w:val="desc"/>
    <w:basedOn w:val="Normal"/>
    <w:rsid w:val="00901E5F"/>
    <w:pPr>
      <w:spacing w:before="100" w:beforeAutospacing="1" w:after="100" w:afterAutospacing="1"/>
    </w:pPr>
    <w:rPr>
      <w:rFonts w:ascii="Times New Roman" w:eastAsia="Calibri" w:hAnsi="Times New Roman" w:cs="Times New Roman"/>
      <w:lang w:val="tr-TR" w:eastAsia="tr-TR"/>
    </w:rPr>
  </w:style>
  <w:style w:type="character" w:customStyle="1" w:styleId="hvr">
    <w:name w:val="hvr"/>
    <w:rsid w:val="00901E5F"/>
    <w:rPr>
      <w:rFonts w:cs="Times New Roman"/>
    </w:rPr>
  </w:style>
  <w:style w:type="character" w:customStyle="1" w:styleId="UnresolvedMention10">
    <w:name w:val="Unresolved Mention1"/>
    <w:semiHidden/>
    <w:rsid w:val="00901E5F"/>
    <w:rPr>
      <w:rFonts w:cs="Times New Roman"/>
      <w:color w:val="605E5C"/>
      <w:shd w:val="clear" w:color="auto" w:fill="E1DFDD"/>
    </w:rPr>
  </w:style>
  <w:style w:type="character" w:customStyle="1" w:styleId="A2">
    <w:name w:val="A2"/>
    <w:rsid w:val="00901E5F"/>
    <w:rPr>
      <w:color w:val="000000"/>
      <w:sz w:val="20"/>
    </w:rPr>
  </w:style>
  <w:style w:type="paragraph" w:customStyle="1" w:styleId="Pa1">
    <w:name w:val="Pa1"/>
    <w:basedOn w:val="Default"/>
    <w:next w:val="Default"/>
    <w:rsid w:val="00901E5F"/>
    <w:pPr>
      <w:spacing w:line="241" w:lineRule="atLeast"/>
    </w:pPr>
    <w:rPr>
      <w:rFonts w:ascii="Minion Pro" w:hAnsi="Minion Pro" w:cs="Times New Roman"/>
      <w:color w:val="auto"/>
      <w:lang w:val="en-US"/>
    </w:rPr>
  </w:style>
  <w:style w:type="character" w:customStyle="1" w:styleId="subtitle10">
    <w:name w:val="subtitle10"/>
    <w:rsid w:val="00901E5F"/>
    <w:rPr>
      <w:rFonts w:cs="Times New Roman"/>
    </w:rPr>
  </w:style>
  <w:style w:type="character" w:customStyle="1" w:styleId="colon-for-citation-subtitle2">
    <w:name w:val="colon-for-citation-subtitle2"/>
    <w:rsid w:val="00901E5F"/>
    <w:rPr>
      <w:rFonts w:cs="Times New Roman"/>
    </w:rPr>
  </w:style>
  <w:style w:type="character" w:styleId="Vurgu">
    <w:name w:val="Emphasis"/>
    <w:qFormat/>
    <w:rsid w:val="00901E5F"/>
    <w:rPr>
      <w:rFonts w:cs="Times New Roman"/>
      <w:i/>
      <w:iCs/>
    </w:rPr>
  </w:style>
  <w:style w:type="character" w:customStyle="1" w:styleId="extended-textshort">
    <w:name w:val="extended-text__short"/>
    <w:rsid w:val="00901E5F"/>
    <w:rPr>
      <w:rFonts w:cs="Times New Roman"/>
    </w:rPr>
  </w:style>
  <w:style w:type="character" w:customStyle="1" w:styleId="topic-highlight">
    <w:name w:val="topic-highlight"/>
    <w:rsid w:val="00901E5F"/>
    <w:rPr>
      <w:rFonts w:cs="Times New Roman"/>
    </w:rPr>
  </w:style>
  <w:style w:type="character" w:customStyle="1" w:styleId="small-caps">
    <w:name w:val="small-caps"/>
    <w:rsid w:val="00901E5F"/>
    <w:rPr>
      <w:rFonts w:cs="Times New Roman"/>
    </w:rPr>
  </w:style>
  <w:style w:type="paragraph" w:customStyle="1" w:styleId="Title1">
    <w:name w:val="Title1"/>
    <w:basedOn w:val="Normal"/>
    <w:rsid w:val="00901E5F"/>
    <w:pPr>
      <w:spacing w:before="100" w:beforeAutospacing="1" w:after="100" w:afterAutospacing="1"/>
    </w:pPr>
    <w:rPr>
      <w:rFonts w:ascii="Times New Roman" w:eastAsia="Calibri" w:hAnsi="Times New Roman" w:cs="Times New Roman"/>
    </w:rPr>
  </w:style>
  <w:style w:type="paragraph" w:customStyle="1" w:styleId="details">
    <w:name w:val="details"/>
    <w:basedOn w:val="Normal"/>
    <w:rsid w:val="00901E5F"/>
    <w:pPr>
      <w:spacing w:before="100" w:beforeAutospacing="1" w:after="100" w:afterAutospacing="1"/>
    </w:pPr>
    <w:rPr>
      <w:rFonts w:ascii="Times New Roman" w:eastAsia="Calibri" w:hAnsi="Times New Roman" w:cs="Times New Roman"/>
    </w:rPr>
  </w:style>
  <w:style w:type="character" w:customStyle="1" w:styleId="jrnl">
    <w:name w:val="jrnl"/>
    <w:rsid w:val="00901E5F"/>
    <w:rPr>
      <w:rFonts w:cs="Times New Roman"/>
    </w:rPr>
  </w:style>
  <w:style w:type="character" w:customStyle="1" w:styleId="rating-count">
    <w:name w:val="rating-count"/>
    <w:rsid w:val="00901E5F"/>
    <w:rPr>
      <w:rFonts w:cs="Times New Roman"/>
    </w:rPr>
  </w:style>
  <w:style w:type="table" w:styleId="TabloWeb1">
    <w:name w:val="Table Web 1"/>
    <w:basedOn w:val="NormalTablo"/>
    <w:rsid w:val="00901E5F"/>
    <w:pPr>
      <w:spacing w:after="160" w:line="259"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901E5F"/>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doi">
    <w:name w:val="citation-doi"/>
    <w:rsid w:val="00901E5F"/>
  </w:style>
  <w:style w:type="character" w:customStyle="1" w:styleId="period">
    <w:name w:val="period"/>
    <w:rsid w:val="00901E5F"/>
  </w:style>
  <w:style w:type="character" w:styleId="AklamaBavurusu">
    <w:name w:val="annotation reference"/>
    <w:rsid w:val="00901E5F"/>
    <w:rPr>
      <w:sz w:val="16"/>
      <w:szCs w:val="16"/>
    </w:rPr>
  </w:style>
  <w:style w:type="paragraph" w:styleId="AklamaMetni">
    <w:name w:val="annotation text"/>
    <w:basedOn w:val="Normal"/>
    <w:link w:val="AklamaMetniChar"/>
    <w:rsid w:val="00901E5F"/>
    <w:pPr>
      <w:spacing w:after="160" w:line="259"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rsid w:val="00901E5F"/>
    <w:rPr>
      <w:rFonts w:ascii="Calibri" w:eastAsia="Times New Roman" w:hAnsi="Calibri" w:cs="Times New Roman"/>
      <w:sz w:val="20"/>
      <w:szCs w:val="20"/>
    </w:rPr>
  </w:style>
  <w:style w:type="paragraph" w:styleId="AklamaKonusu">
    <w:name w:val="annotation subject"/>
    <w:basedOn w:val="AklamaMetni"/>
    <w:next w:val="AklamaMetni"/>
    <w:link w:val="AklamaKonusuChar"/>
    <w:rsid w:val="00901E5F"/>
    <w:rPr>
      <w:b/>
      <w:bCs/>
    </w:rPr>
  </w:style>
  <w:style w:type="character" w:customStyle="1" w:styleId="AklamaKonusuChar">
    <w:name w:val="Açıklama Konusu Char"/>
    <w:basedOn w:val="AklamaMetniChar"/>
    <w:link w:val="AklamaKonusu"/>
    <w:rsid w:val="00901E5F"/>
    <w:rPr>
      <w:rFonts w:ascii="Calibri" w:eastAsia="Times New Roman" w:hAnsi="Calibri" w:cs="Times New Roman"/>
      <w:b/>
      <w:bCs/>
      <w:sz w:val="20"/>
      <w:szCs w:val="20"/>
    </w:rPr>
  </w:style>
  <w:style w:type="paragraph" w:styleId="Dzeltme">
    <w:name w:val="Revision"/>
    <w:hidden/>
    <w:uiPriority w:val="99"/>
    <w:semiHidden/>
    <w:rsid w:val="00901E5F"/>
    <w:rPr>
      <w:rFonts w:ascii="Calibri" w:eastAsia="Times New Roman" w:hAnsi="Calibri" w:cs="Times New Roman"/>
      <w:sz w:val="22"/>
      <w:szCs w:val="22"/>
    </w:rPr>
  </w:style>
  <w:style w:type="character" w:customStyle="1" w:styleId="anchor-text">
    <w:name w:val="anchor-text"/>
    <w:rsid w:val="00901E5F"/>
  </w:style>
  <w:style w:type="paragraph" w:customStyle="1" w:styleId="story-bodylist-item">
    <w:name w:val="story-body__list-item"/>
    <w:basedOn w:val="Normal"/>
    <w:rsid w:val="00901E5F"/>
    <w:pPr>
      <w:spacing w:before="100" w:beforeAutospacing="1" w:after="100" w:afterAutospacing="1"/>
    </w:pPr>
    <w:rPr>
      <w:rFonts w:ascii="Times New Roman" w:eastAsia="Times New Roman" w:hAnsi="Times New Roman" w:cs="Times New Roman"/>
    </w:rPr>
  </w:style>
  <w:style w:type="numbering" w:customStyle="1" w:styleId="ListeYok1">
    <w:name w:val="Liste Yok1"/>
    <w:next w:val="ListeYok"/>
    <w:uiPriority w:val="99"/>
    <w:semiHidden/>
    <w:unhideWhenUsed/>
    <w:rsid w:val="00901E5F"/>
  </w:style>
  <w:style w:type="character" w:customStyle="1" w:styleId="Date1">
    <w:name w:val="Date1"/>
    <w:rsid w:val="00901E5F"/>
  </w:style>
  <w:style w:type="character" w:customStyle="1" w:styleId="reference-text">
    <w:name w:val="reference-text"/>
    <w:basedOn w:val="VarsaylanParagrafYazTipi"/>
    <w:rsid w:val="00901E5F"/>
  </w:style>
  <w:style w:type="character" w:styleId="HTMLCite">
    <w:name w:val="HTML Cite"/>
    <w:uiPriority w:val="99"/>
    <w:unhideWhenUsed/>
    <w:rsid w:val="00901E5F"/>
    <w:rPr>
      <w:i/>
      <w:iCs/>
    </w:rPr>
  </w:style>
  <w:style w:type="character" w:customStyle="1" w:styleId="docsum-authors">
    <w:name w:val="docsum-authors"/>
    <w:rsid w:val="00901E5F"/>
  </w:style>
  <w:style w:type="character" w:customStyle="1" w:styleId="docsum-journal-citation">
    <w:name w:val="docsum-journal-citation"/>
    <w:rsid w:val="00901E5F"/>
  </w:style>
  <w:style w:type="character" w:styleId="SatrNumaras">
    <w:name w:val="line number"/>
    <w:basedOn w:val="VarsaylanParagrafYazTipi"/>
    <w:rsid w:val="00901E5F"/>
  </w:style>
  <w:style w:type="paragraph" w:customStyle="1" w:styleId="update-date">
    <w:name w:val="update-date"/>
    <w:basedOn w:val="Normal"/>
    <w:rsid w:val="00901E5F"/>
    <w:pPr>
      <w:spacing w:before="100" w:beforeAutospacing="1" w:after="100" w:afterAutospacing="1"/>
    </w:pPr>
    <w:rPr>
      <w:rFonts w:ascii="Times New Roman" w:eastAsia="Times New Roman" w:hAnsi="Times New Roman" w:cs="Times New Roman"/>
    </w:rPr>
  </w:style>
  <w:style w:type="paragraph" w:customStyle="1" w:styleId="IJCI-body-text">
    <w:name w:val="IJCI-body-text"/>
    <w:basedOn w:val="Normal"/>
    <w:rsid w:val="00C41525"/>
    <w:pPr>
      <w:keepNext/>
      <w:spacing w:after="100" w:line="300" w:lineRule="exact"/>
      <w:ind w:firstLine="238"/>
      <w:jc w:val="both"/>
    </w:pPr>
    <w:rPr>
      <w:rFonts w:ascii="Century Schoolbook" w:eastAsia="SimSun" w:hAnsi="Century Schoolbook" w:cs="Times New Roman"/>
      <w:sz w:val="22"/>
      <w:szCs w:val="20"/>
    </w:rPr>
  </w:style>
  <w:style w:type="character" w:customStyle="1" w:styleId="UnresolvedMention">
    <w:name w:val="Unresolved Mention"/>
    <w:basedOn w:val="VarsaylanParagrafYazTipi"/>
    <w:uiPriority w:val="99"/>
    <w:semiHidden/>
    <w:unhideWhenUsed/>
    <w:rsid w:val="007D1D45"/>
    <w:rPr>
      <w:color w:val="605E5C"/>
      <w:shd w:val="clear" w:color="auto" w:fill="E1DFDD"/>
    </w:rPr>
  </w:style>
  <w:style w:type="paragraph" w:styleId="Kaynaka">
    <w:name w:val="Bibliography"/>
    <w:basedOn w:val="Normal"/>
    <w:next w:val="Normal"/>
    <w:unhideWhenUsed/>
    <w:rsid w:val="00FD075D"/>
    <w:pPr>
      <w:spacing w:line="480" w:lineRule="auto"/>
    </w:pPr>
    <w:rPr>
      <w:rFonts w:ascii="Times New Roman" w:eastAsiaTheme="minorHAnsi" w:hAnsi="Times New Roman"/>
      <w:szCs w:val="22"/>
    </w:rPr>
  </w:style>
  <w:style w:type="paragraph" w:styleId="AralkYok">
    <w:name w:val="No Spacing"/>
    <w:uiPriority w:val="1"/>
    <w:qFormat/>
    <w:rsid w:val="006775C9"/>
    <w:pPr>
      <w:spacing w:line="360" w:lineRule="auto"/>
    </w:pPr>
    <w:rPr>
      <w:rFonts w:ascii="Times New Roman" w:eastAsiaTheme="minorHAnsi"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65734">
      <w:bodyDiv w:val="1"/>
      <w:marLeft w:val="0"/>
      <w:marRight w:val="0"/>
      <w:marTop w:val="0"/>
      <w:marBottom w:val="0"/>
      <w:divBdr>
        <w:top w:val="none" w:sz="0" w:space="0" w:color="auto"/>
        <w:left w:val="none" w:sz="0" w:space="0" w:color="auto"/>
        <w:bottom w:val="none" w:sz="0" w:space="0" w:color="auto"/>
        <w:right w:val="none" w:sz="0" w:space="0" w:color="auto"/>
      </w:divBdr>
    </w:div>
    <w:div w:id="409497862">
      <w:bodyDiv w:val="1"/>
      <w:marLeft w:val="0"/>
      <w:marRight w:val="0"/>
      <w:marTop w:val="0"/>
      <w:marBottom w:val="0"/>
      <w:divBdr>
        <w:top w:val="none" w:sz="0" w:space="0" w:color="auto"/>
        <w:left w:val="none" w:sz="0" w:space="0" w:color="auto"/>
        <w:bottom w:val="none" w:sz="0" w:space="0" w:color="auto"/>
        <w:right w:val="none" w:sz="0" w:space="0" w:color="auto"/>
      </w:divBdr>
    </w:div>
    <w:div w:id="424572099">
      <w:bodyDiv w:val="1"/>
      <w:marLeft w:val="0"/>
      <w:marRight w:val="0"/>
      <w:marTop w:val="0"/>
      <w:marBottom w:val="0"/>
      <w:divBdr>
        <w:top w:val="none" w:sz="0" w:space="0" w:color="auto"/>
        <w:left w:val="none" w:sz="0" w:space="0" w:color="auto"/>
        <w:bottom w:val="none" w:sz="0" w:space="0" w:color="auto"/>
        <w:right w:val="none" w:sz="0" w:space="0" w:color="auto"/>
      </w:divBdr>
    </w:div>
    <w:div w:id="459736877">
      <w:bodyDiv w:val="1"/>
      <w:marLeft w:val="0"/>
      <w:marRight w:val="0"/>
      <w:marTop w:val="0"/>
      <w:marBottom w:val="0"/>
      <w:divBdr>
        <w:top w:val="none" w:sz="0" w:space="0" w:color="auto"/>
        <w:left w:val="none" w:sz="0" w:space="0" w:color="auto"/>
        <w:bottom w:val="none" w:sz="0" w:space="0" w:color="auto"/>
        <w:right w:val="none" w:sz="0" w:space="0" w:color="auto"/>
      </w:divBdr>
    </w:div>
    <w:div w:id="656736380">
      <w:bodyDiv w:val="1"/>
      <w:marLeft w:val="0"/>
      <w:marRight w:val="0"/>
      <w:marTop w:val="0"/>
      <w:marBottom w:val="0"/>
      <w:divBdr>
        <w:top w:val="none" w:sz="0" w:space="0" w:color="auto"/>
        <w:left w:val="none" w:sz="0" w:space="0" w:color="auto"/>
        <w:bottom w:val="none" w:sz="0" w:space="0" w:color="auto"/>
        <w:right w:val="none" w:sz="0" w:space="0" w:color="auto"/>
      </w:divBdr>
    </w:div>
    <w:div w:id="1440485714">
      <w:bodyDiv w:val="1"/>
      <w:marLeft w:val="0"/>
      <w:marRight w:val="0"/>
      <w:marTop w:val="0"/>
      <w:marBottom w:val="0"/>
      <w:divBdr>
        <w:top w:val="none" w:sz="0" w:space="0" w:color="auto"/>
        <w:left w:val="none" w:sz="0" w:space="0" w:color="auto"/>
        <w:bottom w:val="none" w:sz="0" w:space="0" w:color="auto"/>
        <w:right w:val="none" w:sz="0" w:space="0" w:color="auto"/>
      </w:divBdr>
    </w:div>
    <w:div w:id="2091583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Year>2014</b:Year>
    <b:Volume>41</b:Volume>
    <b:BIBTEX_Entry>article</b:BIBTEX_Entry>
    <b:SourceType>JournalArticle</b:SourceType>
    <b:Title>Analyzing time–frequency relationship between interest rate, stock price and exchange rate through continuous wavelet</b:Title>
    <b:Tag>andries2014analyzing</b:Tag>
    <b:Publisher>Elsevier</b:Publisher>
    <b:Author>
      <b:Author>
        <b:Corporate>Andries, Alin Marius; Ihnatov, Iulian; Tiwari, Aviral Kumar</b:Corporate>
      </b:Author>
    </b:Author>
    <b:Pages>227–238</b:Pages>
    <b:JournalName>Economic Modelling</b:JournalName>
    <b:Guid>{4898CC5D-C697-4832-8399-DB39F6DB1F97}</b:Guid>
    <b:RefOrder>14</b:RefOrder>
  </b:Source>
  <b:Source>
    <b:BIBTEX_Entry>article</b:BIBTEX_Entry>
    <b:SourceType>JournalArticle</b:SourceType>
    <b:Title>Traces of the Multifractal Nature of the Financial Crises in Turkey: Co-Movement of the Hölder Exponents and Large-Scale Forecast</b:Title>
    <b:Tag>Oygur2020</b:Tag>
    <b:Publisher>World Scientific</b:Publisher>
    <b:DOI>10.1142/S0219477520500297</b:DOI>
    <b:Author>
      <b:Author>
        <b:Corporate>Oygur, Tunc; Unal, Gazanfer</b:Corporate>
      </b:Author>
    </b:Author>
    <b:Pages>2050029</b:Pages>
    <b:Year>2020</b:Year>
    <b:JournalName>Fluctuation and Noise Letters</b:JournalName>
    <b:Guid>{59C0131E-B011-4D0C-989A-C9C4CF977C99}</b:Guid>
    <b:RefOrder>57</b:RefOrder>
  </b:Source>
  <b:Source>
    <b:Year>2009</b:Year>
    <b:BIBTEX_Entry>book</b:BIBTEX_Entry>
    <b:SourceType>Book</b:SourceType>
    <b:Title>This time is different: eight centuries of financial folly</b:Title>
    <b:Tag>reinhart2009time</b:Tag>
    <b:Publisher>princeton university press</b:Publisher>
    <b:Author>
      <b:Author>
        <b:NameList>
          <b:Person>
            <b:Last>Reinhart</b:Last>
            <b:Middle>M.</b:Middle>
            <b:First>Carmen</b:First>
          </b:Person>
          <b:Person>
            <b:Last>Rogoff</b:Last>
            <b:Middle>S.</b:Middle>
            <b:First>Kenneth</b:First>
          </b:Person>
        </b:NameList>
      </b:Author>
    </b:Author>
    <b:RefOrder>1</b:RefOrder>
  </b:Source>
  <b:Source>
    <b:Year>2011</b:Year>
    <b:Volume>21</b:Volume>
    <b:BIBTEX_Entry>article</b:BIBTEX_Entry>
    <b:SourceType>JournalArticle</b:SourceType>
    <b:Title>On the relationship between exchange rates and equity returns: A new approach</b:Title>
    <b:Tag>katechos2011relationship</b:Tag>
    <b:Publisher>Elsevier</b:Publisher>
    <b:Author>
      <b:Author>
        <b:NameList>
          <b:Person>
            <b:Last>Katechos</b:Last>
            <b:First>Georgios</b:First>
          </b:Person>
        </b:NameList>
      </b:Author>
    </b:Author>
    <b:Pages>550–559</b:Pages>
    <b:JournalName>Journal of International Financial Markets, Institutions and Money</b:JournalName>
    <b:Number>4</b:Number>
    <b:RefOrder>2</b:RefOrder>
  </b:Source>
  <b:Source>
    <b:Year>2012</b:Year>
    <b:Volume>22</b:Volume>
    <b:BIBTEX_Entry>article</b:BIBTEX_Entry>
    <b:SourceType>JournalArticle</b:SourceType>
    <b:Title>The comovement between exchange rates and stock prices in the Asian emerging markets</b:Title>
    <b:Tag>lin2012comovement</b:Tag>
    <b:Publisher>Elsevier</b:Publisher>
    <b:Author>
      <b:Author>
        <b:NameList>
          <b:Person>
            <b:Last>Lin</b:Last>
            <b:First>Chien-Hsiu</b:First>
          </b:Person>
        </b:NameList>
      </b:Author>
    </b:Author>
    <b:Pages>161–172</b:Pages>
    <b:JournalName>International Review of Economics &amp; Finance</b:JournalName>
    <b:Number>1</b:Number>
    <b:RefOrder>3</b:RefOrder>
  </b:Source>
  <b:Source>
    <b:Year>2012</b:Year>
    <b:Volume>22</b:Volume>
    <b:BIBTEX_Entry>article</b:BIBTEX_Entry>
    <b:SourceType>JournalArticle</b:SourceType>
    <b:Title>The relationship between stock price index and exchange rate in Asian markets: A quantile regression approach</b:Title>
    <b:Tag>tsai2012relationship</b:Tag>
    <b:Publisher>Elsevier</b:Publisher>
    <b:Author>
      <b:Author>
        <b:NameList>
          <b:Person>
            <b:Last>Tsai</b:Last>
            <b:First>I.-Chun</b:First>
          </b:Person>
        </b:NameList>
      </b:Author>
    </b:Author>
    <b:Pages>609–621</b:Pages>
    <b:JournalName>Journal of International Financial Markets, Institutions and Money</b:JournalName>
    <b:Number>3</b:Number>
    <b:RefOrder>4</b:RefOrder>
  </b:Source>
  <b:Source>
    <b:Year>2011</b:Year>
    <b:Volume>12</b:Volume>
    <b:BIBTEX_Entry>article</b:BIBTEX_Entry>
    <b:SourceType>JournalArticle</b:SourceType>
    <b:Title>Stock market volatility and exchange rates in emerging countries: A Markov-state switching approach</b:Title>
    <b:Tag>walid2011stock</b:Tag>
    <b:Publisher>Elsevier</b:Publisher>
    <b:Author>
      <b:Author>
        <b:NameList>
          <b:Person>
            <b:Last>Walid</b:Last>
            <b:First>Chkili</b:First>
          </b:Person>
          <b:Person>
            <b:Last>Chaker</b:Last>
            <b:First>Aloui</b:First>
          </b:Person>
          <b:Person>
            <b:Last>Masood</b:Last>
            <b:First>Omar</b:First>
          </b:Person>
          <b:Person>
            <b:Last>Fry</b:Last>
            <b:First>John</b:First>
          </b:Person>
        </b:NameList>
      </b:Author>
    </b:Author>
    <b:Pages>272–292</b:Pages>
    <b:JournalName>Emerging Markets Review</b:JournalName>
    <b:Number>3</b:Number>
    <b:RefOrder>5</b:RefOrder>
  </b:Source>
  <b:Source>
    <b:Year>2011</b:Year>
    <b:Volume>33</b:Volume>
    <b:BIBTEX_Entry>article</b:BIBTEX_Entry>
    <b:SourceType>JournalArticle</b:SourceType>
    <b:Title>Financial liberalization, exchange rates and stock prices: Exogenous shocks in four Latin America countries</b:Title>
    <b:Tag>diamandis2011financial</b:Tag>
    <b:Publisher>Elsevier</b:Publisher>
    <b:Author>
      <b:Author>
        <b:NameList>
          <b:Person>
            <b:Last>Diamandis</b:Last>
            <b:Middle>F.</b:Middle>
            <b:First>Panayiotis</b:First>
          </b:Person>
          <b:Person>
            <b:Last>Drakos</b:Last>
            <b:Middle>A.</b:Middle>
            <b:First>Anastassios</b:First>
          </b:Person>
        </b:NameList>
      </b:Author>
    </b:Author>
    <b:Pages>381–394</b:Pages>
    <b:JournalName>Journal of Policy Modeling</b:JournalName>
    <b:Number>3</b:Number>
    <b:RefOrder>6</b:RefOrder>
  </b:Source>
  <b:Source>
    <b:Year>2003</b:Year>
    <b:BIBTEX_Entry>article</b:BIBTEX_Entry>
    <b:SourceType>JournalArticle</b:SourceType>
    <b:Title>Relationship between Exchange Rate and Stock Prices in India-An Empirical Analysis</b:Title>
    <b:Tag>nath2003relationship</b:Tag>
    <b:Author>
      <b:Author>
        <b:NameList>
          <b:Person>
            <b:Last>Nath</b:Last>
            <b:Middle>C.</b:Middle>
            <b:First>Golaka</b:First>
          </b:Person>
          <b:Person>
            <b:Last>Samanta</b:Last>
            <b:Middle>P.</b:Middle>
            <b:First>G.</b:First>
          </b:Person>
        </b:NameList>
      </b:Author>
    </b:Author>
    <b:JournalName>Available at SSRN 475823</b:JournalName>
    <b:RefOrder>7</b:RefOrder>
  </b:Source>
  <b:Source>
    <b:Year>2005</b:Year>
    <b:Volume>24</b:Volume>
    <b:BIBTEX_Entry>article</b:BIBTEX_Entry>
    <b:SourceType>JournalArticle</b:SourceType>
    <b:Title>Stock prices and exchange rate dynamics</b:Title>
    <b:Tag>phylaktis2005stock</b:Tag>
    <b:Publisher>Elsevier</b:Publisher>
    <b:Author>
      <b:Author>
        <b:NameList>
          <b:Person>
            <b:Last>Phylaktis</b:Last>
            <b:First>Kate</b:First>
          </b:Person>
          <b:Person>
            <b:Last>Ravazzolo</b:Last>
            <b:First>Fabiola</b:First>
          </b:Person>
        </b:NameList>
      </b:Author>
    </b:Author>
    <b:Pages>1031–1053</b:Pages>
    <b:JournalName>Journal of International Money and Finance</b:JournalName>
    <b:Number>7</b:Number>
    <b:RefOrder>8</b:RefOrder>
  </b:Source>
  <b:Source>
    <b:Year>2010</b:Year>
    <b:Volume>24</b:Volume>
    <b:BIBTEX_Entry>article</b:BIBTEX_Entry>
    <b:SourceType>JournalArticle</b:SourceType>
    <b:Title>Dynamic relationship between exchange rate and stock price: Evidence from China</b:Title>
    <b:Tag>zhao2010dynamic</b:Tag>
    <b:Publisher>Elsevier</b:Publisher>
    <b:Author>
      <b:Author>
        <b:NameList>
          <b:Person>
            <b:Last>Zhao</b:Last>
            <b:First>Hua</b:First>
          </b:Person>
        </b:NameList>
      </b:Author>
    </b:Author>
    <b:Pages>103–112</b:Pages>
    <b:JournalName>Research in International Business and Finance</b:JournalName>
    <b:Number>2</b:Number>
    <b:RefOrder>9</b:RefOrder>
  </b:Source>
  <b:Source>
    <b:Year>2008</b:Year>
    <b:Volume>20</b:Volume>
    <b:BIBTEX_Entry>article</b:BIBTEX_Entry>
    <b:SourceType>JournalArticle</b:SourceType>
    <b:Title>Causal relation between interest and exchange rates in the Asian currency crisis</b:Title>
    <b:Tag>choi2008causal</b:Tag>
    <b:Publisher>Elsevier</b:Publisher>
    <b:Author>
      <b:Author>
        <b:NameList>
          <b:Person>
            <b:Last>Choi</b:Last>
            <b:First>In</b:First>
          </b:Person>
          <b:Person>
            <b:Last>Park</b:Last>
            <b:First>Daekeun</b:First>
          </b:Person>
        </b:NameList>
      </b:Author>
    </b:Author>
    <b:Pages>435–452</b:Pages>
    <b:JournalName>Japan and the World Economy</b:JournalName>
    <b:Number>3</b:Number>
    <b:RefOrder>10</b:RefOrder>
  </b:Source>
  <b:Source>
    <b:Year>2010</b:Year>
    <b:Volume>50</b:Volume>
    <b:BIBTEX_Entry>article</b:BIBTEX_Entry>
    <b:SourceType>JournalArticle</b:SourceType>
    <b:Title>Do interest rate, exchange rates effect stock returns?</b:Title>
    <b:Tag>ahmad2010interest</b:Tag>
    <b:Author>
      <b:Author>
        <b:NameList>
          <b:Person>
            <b:Last>Ahmad</b:Last>
            <b:Middle>A.</b:Middle>
            <b:First>M.</b:First>
          </b:Person>
          <b:Person>
            <b:Last>Ahmad</b:Last>
            <b:Middle>U.</b:Middle>
            <b:First>R.</b:First>
          </b:Person>
          <b:Person>
            <b:Last>Rehman</b:Last>
            <b:Middle>R.</b:Middle>
            <b:First>A.</b:First>
          </b:Person>
        </b:NameList>
      </b:Author>
    </b:Author>
    <b:Pages>146–150</b:Pages>
    <b:JournalName>A Pakistani Perspective, International Research Journal of Finance and Economics</b:JournalName>
    <b:RefOrder>11</b:RefOrder>
  </b:Source>
  <b:Source>
    <b:Year>2012</b:Year>
    <b:Volume>36</b:Volume>
    <b:BIBTEX_Entry>article</b:BIBTEX_Entry>
    <b:SourceType>JournalArticle</b:SourceType>
    <b:Title>Monetary policy and stock prices in small open economies: Empirical evidence for the new EU member states</b:Title>
    <b:Tag>pirovano2012monetary</b:Tag>
    <b:Publisher>Elsevier</b:Publisher>
    <b:Author>
      <b:Author>
        <b:NameList>
          <b:Person>
            <b:Last>Pirovano</b:Last>
            <b:First>Mara</b:First>
          </b:Person>
        </b:NameList>
      </b:Author>
    </b:Author>
    <b:Pages>372–390</b:Pages>
    <b:JournalName>Economic Systems</b:JournalName>
    <b:Number>3</b:Number>
    <b:RefOrder>12</b:RefOrder>
  </b:Source>
  <b:Source>
    <b:Year>2008</b:Year>
    <b:Volume>30</b:Volume>
    <b:BIBTEX_Entry>article</b:BIBTEX_Entry>
    <b:SourceType>JournalArticle</b:SourceType>
    <b:Title>The impact of monetary policy on stock prices</b:Title>
    <b:Tag>ioannidis2008impact</b:Tag>
    <b:Publisher>Elsevier</b:Publisher>
    <b:Author>
      <b:Author>
        <b:NameList>
          <b:Person>
            <b:Last>Ioannidis</b:Last>
            <b:First>Christos</b:First>
          </b:Person>
          <b:Person>
            <b:Last>Kontonikas</b:Last>
            <b:First>Alexandros</b:First>
          </b:Person>
        </b:NameList>
      </b:Author>
    </b:Author>
    <b:Pages>33–53</b:Pages>
    <b:JournalName>Journal of Policy Modeling</b:JournalName>
    <b:Number>1</b:Number>
    <b:RefOrder>13</b:RefOrder>
  </b:Source>
  <b:Source>
    <b:Year>2001</b:Year>
    <b:BIBTEX_Entry>article</b:BIBTEX_Entry>
    <b:SourceType>JournalArticle</b:SourceType>
    <b:Title>The Causality between interest rate, exchange rate and stock price in emerging markets: The case of the Jakarta Stock Exchange</b:Title>
    <b:Tag>gupta2001causality</b:Tag>
    <b:Publisher>World Scientific</b:Publisher>
    <b:Author>
      <b:Author>
        <b:NameList>
          <b:Person>
            <b:Last>Gupta</b:Last>
            <b:Middle>P.</b:Middle>
            <b:First>Jyoti</b:First>
          </b:Person>
          <b:Person>
            <b:Last>Chevalier</b:Last>
            <b:First>Alain</b:First>
          </b:Person>
          <b:Person>
            <b:Last>Sayekt</b:Last>
            <b:First>Fran</b:First>
          </b:Person>
          <b:Person>
            <b:Last>others</b:Last>
          </b:Person>
        </b:NameList>
      </b:Author>
    </b:Author>
    <b:Pages>145</b:Pages>
    <b:JournalName>Fuzzy Sets in Management, Economics, and Marketing</b:JournalName>
    <b:RefOrder>15</b:RefOrder>
  </b:Source>
  <b:Source>
    <b:Year>2011</b:Year>
    <b:Volume>1</b:Volume>
    <b:BIBTEX_Entry>article</b:BIBTEX_Entry>
    <b:SourceType>JournalArticle</b:SourceType>
    <b:Title>The relationship between interest rate, exchange rate and stock price: A wavelet analysis</b:Title>
    <b:Tag>hamrita2011relationship</b:Tag>
    <b:Publisher>EconJournals</b:Publisher>
    <b:Author>
      <b:Author>
        <b:NameList>
          <b:Person>
            <b:Last>Hamrita</b:Last>
            <b:Middle>Essaied</b:Middle>
            <b:First>Mohamed</b:First>
          </b:Person>
          <b:Person>
            <b:Last>Trifi</b:Last>
            <b:First>Abdelkader</b:First>
          </b:Person>
        </b:NameList>
      </b:Author>
    </b:Author>
    <b:Pages>220</b:Pages>
    <b:JournalName>International Journal of Economics and Financial Issues</b:JournalName>
    <b:Number>4</b:Number>
    <b:RefOrder>16</b:RefOrder>
  </b:Source>
  <b:Source>
    <b:Year>1993</b:Year>
    <b:Volume>10</b:Volume>
    <b:BIBTEX_Entry>article</b:BIBTEX_Entry>
    <b:SourceType>JournalArticle</b:SourceType>
    <b:Title>Causality of interest rate, exchange rate and stock prices at stock market open and close in Hong Kong</b:Title>
    <b:Tag>mok1993causality</b:Tag>
    <b:Publisher>Springer</b:Publisher>
    <b:Author>
      <b:Author>
        <b:NameList>
          <b:Person>
            <b:Last>Mok</b:Last>
            <b:Middle>M. K.</b:Middle>
            <b:First>Henry</b:First>
          </b:Person>
        </b:NameList>
      </b:Author>
    </b:Author>
    <b:Pages>123–143</b:Pages>
    <b:JournalName>Asia Pacific Journal of Management</b:JournalName>
    <b:Number>2</b:Number>
    <b:RefOrder>17</b:RefOrder>
  </b:Source>
</b:Sources>
</file>

<file path=customXml/itemProps1.xml><?xml version="1.0" encoding="utf-8"?>
<ds:datastoreItem xmlns:ds="http://schemas.openxmlformats.org/officeDocument/2006/customXml" ds:itemID="{85DDBBA9-16F1-4DD2-8275-1BAAF749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3816</Words>
  <Characters>21757</Characters>
  <Application>Microsoft Office Word</Application>
  <DocSecurity>0</DocSecurity>
  <Lines>181</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filizesraonenbayram</dc:creator>
  <cp:keywords/>
  <dc:description/>
  <cp:lastModifiedBy>Gul Alptekin</cp:lastModifiedBy>
  <cp:revision>2</cp:revision>
  <dcterms:created xsi:type="dcterms:W3CDTF">2022-06-15T07:15:00Z</dcterms:created>
  <dcterms:modified xsi:type="dcterms:W3CDTF">2022-06-15T07:15:00Z</dcterms:modified>
</cp:coreProperties>
</file>